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276E" w14:textId="77777777" w:rsidR="00D761AE" w:rsidRPr="00243F23" w:rsidRDefault="00FB5082" w:rsidP="00FB5082">
      <w:pPr>
        <w:pStyle w:val="ECHeadings"/>
      </w:pPr>
      <w:r w:rsidRPr="00243F23">
        <w:t>European Commission</w:t>
      </w:r>
    </w:p>
    <w:p w14:paraId="59090036" w14:textId="77777777" w:rsidR="00091568" w:rsidRDefault="00091568" w:rsidP="00FB5082">
      <w:pPr>
        <w:pStyle w:val="EuropeanCommissionPR"/>
      </w:pPr>
    </w:p>
    <w:p w14:paraId="5C6A873E" w14:textId="7E6DE577" w:rsidR="00FB5082" w:rsidRPr="00243F23" w:rsidRDefault="00FB5082" w:rsidP="00FB5082">
      <w:pPr>
        <w:pStyle w:val="EuropeanCommissionPR"/>
      </w:pPr>
      <w:r w:rsidRPr="00243F23">
        <w:t>MEMO</w:t>
      </w:r>
    </w:p>
    <w:p w14:paraId="7F3569F9" w14:textId="77777777" w:rsidR="00DB2AAB" w:rsidRDefault="00A913DF" w:rsidP="00F3534E">
      <w:pPr>
        <w:shd w:val="clear" w:color="auto" w:fill="FFFFFF"/>
        <w:spacing w:before="120" w:after="240"/>
        <w:jc w:val="center"/>
        <w:outlineLvl w:val="0"/>
        <w:rPr>
          <w:b/>
          <w:bCs/>
          <w:color w:val="000000"/>
          <w:kern w:val="36"/>
          <w:sz w:val="28"/>
          <w:szCs w:val="20"/>
        </w:rPr>
      </w:pPr>
      <w:r w:rsidRPr="00243F23">
        <w:rPr>
          <w:b/>
          <w:bCs/>
          <w:color w:val="000000"/>
          <w:kern w:val="36"/>
          <w:sz w:val="28"/>
          <w:szCs w:val="20"/>
        </w:rPr>
        <w:t xml:space="preserve">Connecting Europe Facility </w:t>
      </w:r>
      <w:r>
        <w:rPr>
          <w:b/>
          <w:bCs/>
          <w:color w:val="000000"/>
          <w:kern w:val="36"/>
          <w:sz w:val="28"/>
          <w:szCs w:val="20"/>
        </w:rPr>
        <w:t>(CEF)</w:t>
      </w:r>
    </w:p>
    <w:p w14:paraId="2C25996E" w14:textId="63E8F143" w:rsidR="00C279DD" w:rsidRPr="00243F23" w:rsidRDefault="00537482" w:rsidP="00F3534E">
      <w:pPr>
        <w:shd w:val="clear" w:color="auto" w:fill="FFFFFF"/>
        <w:spacing w:before="120" w:after="240"/>
        <w:jc w:val="center"/>
        <w:outlineLvl w:val="0"/>
        <w:rPr>
          <w:b/>
          <w:bCs/>
          <w:color w:val="000000"/>
          <w:kern w:val="36"/>
          <w:sz w:val="28"/>
          <w:szCs w:val="20"/>
        </w:rPr>
      </w:pPr>
      <w:r>
        <w:rPr>
          <w:b/>
          <w:bCs/>
          <w:color w:val="000000"/>
          <w:kern w:val="36"/>
          <w:sz w:val="28"/>
          <w:szCs w:val="20"/>
        </w:rPr>
        <w:t xml:space="preserve">Results of the </w:t>
      </w:r>
      <w:r w:rsidR="00697B89">
        <w:rPr>
          <w:b/>
          <w:bCs/>
          <w:color w:val="000000"/>
          <w:kern w:val="36"/>
          <w:sz w:val="28"/>
          <w:szCs w:val="20"/>
        </w:rPr>
        <w:t>5</w:t>
      </w:r>
      <w:r w:rsidR="00A913DF" w:rsidRPr="009524B9">
        <w:rPr>
          <w:b/>
          <w:bCs/>
          <w:color w:val="000000"/>
          <w:kern w:val="36"/>
          <w:sz w:val="28"/>
          <w:szCs w:val="20"/>
          <w:vertAlign w:val="superscript"/>
        </w:rPr>
        <w:t>th</w:t>
      </w:r>
      <w:r w:rsidR="00A913DF">
        <w:rPr>
          <w:b/>
          <w:bCs/>
          <w:color w:val="000000"/>
          <w:kern w:val="36"/>
          <w:sz w:val="28"/>
          <w:szCs w:val="20"/>
        </w:rPr>
        <w:t xml:space="preserve"> cut-off of the </w:t>
      </w:r>
      <w:r w:rsidR="00C279DD" w:rsidRPr="00243F23">
        <w:rPr>
          <w:b/>
          <w:bCs/>
          <w:color w:val="000000"/>
          <w:kern w:val="36"/>
          <w:sz w:val="28"/>
          <w:szCs w:val="20"/>
        </w:rPr>
        <w:t xml:space="preserve">Transport </w:t>
      </w:r>
      <w:r w:rsidR="00DD1858">
        <w:rPr>
          <w:b/>
          <w:bCs/>
          <w:color w:val="000000"/>
          <w:kern w:val="36"/>
          <w:sz w:val="28"/>
          <w:szCs w:val="20"/>
        </w:rPr>
        <w:t>Alternative Fuels</w:t>
      </w:r>
      <w:r w:rsidR="004D1903">
        <w:rPr>
          <w:b/>
          <w:bCs/>
          <w:color w:val="000000"/>
          <w:kern w:val="36"/>
          <w:sz w:val="28"/>
          <w:szCs w:val="20"/>
        </w:rPr>
        <w:t xml:space="preserve"> </w:t>
      </w:r>
      <w:r w:rsidR="004D1903" w:rsidRPr="004D1903">
        <w:rPr>
          <w:b/>
          <w:bCs/>
          <w:color w:val="000000"/>
          <w:kern w:val="36"/>
          <w:sz w:val="28"/>
          <w:szCs w:val="20"/>
        </w:rPr>
        <w:t>Infrastructure Facility</w:t>
      </w:r>
      <w:r w:rsidR="00A913DF">
        <w:rPr>
          <w:b/>
          <w:bCs/>
          <w:color w:val="000000"/>
          <w:kern w:val="36"/>
          <w:sz w:val="28"/>
          <w:szCs w:val="20"/>
        </w:rPr>
        <w:t xml:space="preserve"> (AFIF)</w:t>
      </w:r>
      <w:r w:rsidR="00DD1858">
        <w:rPr>
          <w:b/>
          <w:bCs/>
          <w:color w:val="000000"/>
          <w:kern w:val="36"/>
          <w:sz w:val="28"/>
          <w:szCs w:val="20"/>
        </w:rPr>
        <w:t xml:space="preserve"> </w:t>
      </w:r>
    </w:p>
    <w:p w14:paraId="60AD965A" w14:textId="77777777" w:rsidR="00091568" w:rsidRDefault="00091568" w:rsidP="00C279DD">
      <w:pPr>
        <w:shd w:val="clear" w:color="auto" w:fill="FFFFFF"/>
        <w:jc w:val="right"/>
        <w:rPr>
          <w:color w:val="000000"/>
          <w:szCs w:val="20"/>
        </w:rPr>
      </w:pPr>
    </w:p>
    <w:p w14:paraId="1EA7381A" w14:textId="77777777" w:rsidR="00091568" w:rsidRDefault="00091568" w:rsidP="00C279DD">
      <w:pPr>
        <w:shd w:val="clear" w:color="auto" w:fill="FFFFFF"/>
        <w:jc w:val="right"/>
        <w:rPr>
          <w:color w:val="000000"/>
          <w:szCs w:val="20"/>
        </w:rPr>
      </w:pPr>
    </w:p>
    <w:p w14:paraId="397BD91E" w14:textId="495A0CBB" w:rsidR="00C279DD" w:rsidRPr="00243F23" w:rsidRDefault="00C279DD" w:rsidP="00C279DD">
      <w:pPr>
        <w:shd w:val="clear" w:color="auto" w:fill="FFFFFF"/>
        <w:jc w:val="right"/>
        <w:rPr>
          <w:color w:val="000000"/>
          <w:szCs w:val="20"/>
        </w:rPr>
      </w:pPr>
      <w:r w:rsidRPr="00243F23">
        <w:rPr>
          <w:color w:val="000000"/>
          <w:szCs w:val="20"/>
        </w:rPr>
        <w:t>Brussels</w:t>
      </w:r>
      <w:r w:rsidR="00537482">
        <w:rPr>
          <w:color w:val="000000"/>
          <w:szCs w:val="20"/>
        </w:rPr>
        <w:t xml:space="preserve">, </w:t>
      </w:r>
      <w:r w:rsidR="00DC73F8">
        <w:rPr>
          <w:color w:val="000000"/>
          <w:szCs w:val="20"/>
        </w:rPr>
        <w:t>1</w:t>
      </w:r>
      <w:r w:rsidR="00697B89">
        <w:rPr>
          <w:color w:val="000000"/>
          <w:szCs w:val="20"/>
        </w:rPr>
        <w:t>0</w:t>
      </w:r>
      <w:r w:rsidR="00DC73F8" w:rsidRPr="00F72EA7">
        <w:rPr>
          <w:color w:val="000000"/>
          <w:szCs w:val="20"/>
        </w:rPr>
        <w:t xml:space="preserve"> </w:t>
      </w:r>
      <w:r w:rsidR="00697B89">
        <w:rPr>
          <w:color w:val="000000"/>
          <w:szCs w:val="20"/>
        </w:rPr>
        <w:t>April</w:t>
      </w:r>
      <w:r w:rsidR="00CB3208">
        <w:rPr>
          <w:color w:val="000000"/>
          <w:szCs w:val="20"/>
        </w:rPr>
        <w:t xml:space="preserve"> 202</w:t>
      </w:r>
      <w:r w:rsidR="00697B89">
        <w:rPr>
          <w:color w:val="000000"/>
          <w:szCs w:val="20"/>
        </w:rPr>
        <w:t>4</w:t>
      </w:r>
    </w:p>
    <w:p w14:paraId="5F452AAA" w14:textId="77777777" w:rsidR="00B26114" w:rsidRPr="00243F23" w:rsidRDefault="00B26114" w:rsidP="00C279DD">
      <w:pPr>
        <w:shd w:val="clear" w:color="auto" w:fill="FFFFFF"/>
        <w:spacing w:before="120"/>
        <w:rPr>
          <w:b/>
          <w:bCs/>
          <w:color w:val="000000"/>
          <w:sz w:val="22"/>
          <w:szCs w:val="20"/>
          <w:u w:val="single"/>
        </w:rPr>
      </w:pPr>
    </w:p>
    <w:p w14:paraId="398364B1" w14:textId="77777777" w:rsidR="00091568" w:rsidRDefault="00091568" w:rsidP="00C279DD">
      <w:pPr>
        <w:shd w:val="clear" w:color="auto" w:fill="FFFFFF"/>
        <w:spacing w:before="120"/>
        <w:rPr>
          <w:rStyle w:val="Strong"/>
          <w:szCs w:val="20"/>
        </w:rPr>
      </w:pPr>
    </w:p>
    <w:p w14:paraId="45D0EFFA" w14:textId="102012F1" w:rsidR="00B26114" w:rsidRPr="00243F23" w:rsidRDefault="00B26114" w:rsidP="00C279DD">
      <w:pPr>
        <w:shd w:val="clear" w:color="auto" w:fill="FFFFFF"/>
        <w:spacing w:before="120"/>
        <w:rPr>
          <w:rStyle w:val="Strong"/>
          <w:szCs w:val="20"/>
        </w:rPr>
      </w:pPr>
      <w:r w:rsidRPr="00243F23">
        <w:rPr>
          <w:rStyle w:val="Strong"/>
          <w:szCs w:val="20"/>
        </w:rPr>
        <w:t>What is CEF?</w:t>
      </w:r>
    </w:p>
    <w:p w14:paraId="7357C382" w14:textId="2A3CF455" w:rsidR="00802E67" w:rsidRPr="00F72EA7" w:rsidRDefault="00802E67" w:rsidP="00F74ADE">
      <w:pPr>
        <w:pStyle w:val="NormalWeb"/>
        <w:jc w:val="both"/>
        <w:rPr>
          <w:rStyle w:val="Strong"/>
          <w:rFonts w:ascii="Verdana" w:hAnsi="Verdana"/>
          <w:b w:val="0"/>
          <w:bCs w:val="0"/>
          <w:sz w:val="20"/>
          <w:szCs w:val="20"/>
        </w:rPr>
      </w:pPr>
      <w:r w:rsidRPr="00243F23">
        <w:rPr>
          <w:rFonts w:ascii="Verdana" w:hAnsi="Verdana"/>
          <w:sz w:val="20"/>
          <w:szCs w:val="20"/>
        </w:rPr>
        <w:t>The Connecting Europe Facility (</w:t>
      </w:r>
      <w:hyperlink r:id="rId12" w:history="1">
        <w:r w:rsidRPr="00243F23">
          <w:rPr>
            <w:rStyle w:val="Hyperlink"/>
            <w:rFonts w:ascii="Verdana" w:hAnsi="Verdana"/>
            <w:sz w:val="20"/>
            <w:szCs w:val="20"/>
          </w:rPr>
          <w:t>CEF</w:t>
        </w:r>
      </w:hyperlink>
      <w:r w:rsidRPr="00243F23">
        <w:rPr>
          <w:rFonts w:ascii="Verdana" w:hAnsi="Verdana"/>
          <w:sz w:val="20"/>
          <w:szCs w:val="20"/>
        </w:rPr>
        <w:t>) is a key EU funding instrument to promote growth, jobs and competitiveness through targeted infrastructure investment at European level. It supports the development of high performing, sustainable</w:t>
      </w:r>
      <w:r>
        <w:rPr>
          <w:rFonts w:ascii="Verdana" w:hAnsi="Verdana"/>
          <w:sz w:val="20"/>
          <w:szCs w:val="20"/>
        </w:rPr>
        <w:t xml:space="preserve">, </w:t>
      </w:r>
      <w:proofErr w:type="gramStart"/>
      <w:r>
        <w:rPr>
          <w:rFonts w:ascii="Verdana" w:hAnsi="Verdana"/>
          <w:sz w:val="20"/>
          <w:szCs w:val="20"/>
        </w:rPr>
        <w:t>intelligent</w:t>
      </w:r>
      <w:proofErr w:type="gramEnd"/>
      <w:r w:rsidRPr="00243F23">
        <w:rPr>
          <w:rFonts w:ascii="Verdana" w:hAnsi="Verdana"/>
          <w:sz w:val="20"/>
          <w:szCs w:val="20"/>
        </w:rPr>
        <w:t xml:space="preserve"> and efficiently interconnected trans-European networks in the fields of transport, energy and digital services.</w:t>
      </w:r>
    </w:p>
    <w:p w14:paraId="08F43D74" w14:textId="77777777" w:rsidR="00802E67" w:rsidRPr="00243F23" w:rsidRDefault="00802E67" w:rsidP="00F74ADE">
      <w:pPr>
        <w:pStyle w:val="NormalWeb"/>
        <w:jc w:val="both"/>
        <w:rPr>
          <w:rStyle w:val="Strong"/>
          <w:rFonts w:ascii="Verdana" w:hAnsi="Verdana"/>
          <w:b w:val="0"/>
          <w:bCs w:val="0"/>
          <w:sz w:val="20"/>
          <w:szCs w:val="20"/>
        </w:rPr>
      </w:pPr>
      <w:r w:rsidRPr="00AF2D0D">
        <w:rPr>
          <w:rFonts w:ascii="Verdana" w:hAnsi="Verdana"/>
          <w:sz w:val="20"/>
          <w:szCs w:val="20"/>
        </w:rPr>
        <w:t xml:space="preserve">The </w:t>
      </w:r>
      <w:hyperlink r:id="rId13" w:history="1">
        <w:r w:rsidRPr="00AF2D0D">
          <w:rPr>
            <w:rStyle w:val="Hyperlink"/>
            <w:rFonts w:ascii="Verdana" w:hAnsi="Verdana"/>
            <w:sz w:val="20"/>
            <w:szCs w:val="20"/>
          </w:rPr>
          <w:t>CEF Transport programme</w:t>
        </w:r>
      </w:hyperlink>
      <w:r w:rsidRPr="00AF2D0D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implements </w:t>
      </w:r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the European Union’s </w:t>
      </w:r>
      <w:r w:rsidRPr="00AF2D0D">
        <w:rPr>
          <w:rStyle w:val="Strong"/>
          <w:rFonts w:ascii="Verdana" w:hAnsi="Verdana"/>
          <w:b w:val="0"/>
          <w:bCs w:val="0"/>
          <w:sz w:val="20"/>
          <w:szCs w:val="20"/>
        </w:rPr>
        <w:t>transport infrastructure policy</w:t>
      </w:r>
      <w:r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by</w:t>
      </w:r>
      <w:r w:rsidRPr="00F72EA7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support</w:t>
      </w:r>
      <w:r>
        <w:rPr>
          <w:rStyle w:val="Strong"/>
          <w:rFonts w:ascii="Verdana" w:hAnsi="Verdana"/>
          <w:b w:val="0"/>
          <w:bCs w:val="0"/>
          <w:sz w:val="20"/>
          <w:szCs w:val="20"/>
        </w:rPr>
        <w:t>ing</w:t>
      </w:r>
      <w:r w:rsidRPr="00F72EA7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investments in building </w:t>
      </w:r>
      <w:r>
        <w:rPr>
          <w:rStyle w:val="Strong"/>
          <w:rFonts w:ascii="Verdana" w:hAnsi="Verdana"/>
          <w:b w:val="0"/>
          <w:bCs w:val="0"/>
          <w:sz w:val="20"/>
          <w:szCs w:val="20"/>
        </w:rPr>
        <w:t>or upgrading</w:t>
      </w:r>
      <w:r w:rsidRPr="00F72EA7">
        <w:rPr>
          <w:rStyle w:val="Strong"/>
          <w:rFonts w:ascii="Verdana" w:hAnsi="Verdana"/>
          <w:b w:val="0"/>
          <w:bCs w:val="0"/>
          <w:sz w:val="20"/>
          <w:szCs w:val="20"/>
        </w:rPr>
        <w:t xml:space="preserve"> transport infrastructure </w:t>
      </w:r>
      <w:r>
        <w:rPr>
          <w:rStyle w:val="Strong"/>
          <w:rFonts w:ascii="Verdana" w:hAnsi="Verdana"/>
          <w:b w:val="0"/>
          <w:bCs w:val="0"/>
          <w:sz w:val="20"/>
          <w:szCs w:val="20"/>
        </w:rPr>
        <w:t>across Europe.</w:t>
      </w:r>
    </w:p>
    <w:p w14:paraId="752AC2D2" w14:textId="543DB194" w:rsidR="00433347" w:rsidRPr="00243F23" w:rsidRDefault="00537482" w:rsidP="00C279DD">
      <w:pPr>
        <w:shd w:val="clear" w:color="auto" w:fill="FFFFFF"/>
        <w:spacing w:before="12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What </w:t>
      </w:r>
      <w:r w:rsidR="004F19ED">
        <w:rPr>
          <w:b/>
          <w:bCs/>
          <w:color w:val="000000"/>
          <w:szCs w:val="20"/>
        </w:rPr>
        <w:t>is</w:t>
      </w:r>
      <w:r>
        <w:rPr>
          <w:b/>
          <w:bCs/>
          <w:color w:val="000000"/>
          <w:szCs w:val="20"/>
        </w:rPr>
        <w:t xml:space="preserve"> </w:t>
      </w:r>
      <w:r w:rsidR="000335B8">
        <w:rPr>
          <w:b/>
          <w:bCs/>
          <w:color w:val="000000"/>
          <w:szCs w:val="20"/>
        </w:rPr>
        <w:t xml:space="preserve">the </w:t>
      </w:r>
      <w:r w:rsidR="000335B8" w:rsidRPr="00466B7F">
        <w:rPr>
          <w:b/>
          <w:bCs/>
          <w:szCs w:val="20"/>
        </w:rPr>
        <w:t>Alte</w:t>
      </w:r>
      <w:r w:rsidR="000335B8" w:rsidRPr="000335B8">
        <w:rPr>
          <w:b/>
          <w:bCs/>
          <w:szCs w:val="20"/>
        </w:rPr>
        <w:t>rnative Fuels Infrastructure Facility</w:t>
      </w:r>
      <w:r w:rsidR="000335B8" w:rsidRPr="000335B8">
        <w:rPr>
          <w:b/>
          <w:bCs/>
          <w:color w:val="000000"/>
          <w:szCs w:val="20"/>
        </w:rPr>
        <w:t xml:space="preserve"> </w:t>
      </w:r>
      <w:r w:rsidR="000335B8">
        <w:rPr>
          <w:b/>
          <w:bCs/>
          <w:color w:val="000000"/>
          <w:szCs w:val="20"/>
        </w:rPr>
        <w:t>(</w:t>
      </w:r>
      <w:r w:rsidR="00A913DF">
        <w:rPr>
          <w:b/>
          <w:bCs/>
          <w:color w:val="000000"/>
          <w:szCs w:val="20"/>
        </w:rPr>
        <w:t>AFIF</w:t>
      </w:r>
      <w:r w:rsidR="000335B8">
        <w:rPr>
          <w:b/>
          <w:bCs/>
          <w:color w:val="000000"/>
          <w:szCs w:val="20"/>
        </w:rPr>
        <w:t>)</w:t>
      </w:r>
      <w:r w:rsidR="00297959" w:rsidRPr="00243F23">
        <w:rPr>
          <w:b/>
          <w:bCs/>
          <w:color w:val="000000"/>
          <w:szCs w:val="20"/>
        </w:rPr>
        <w:t>?</w:t>
      </w:r>
    </w:p>
    <w:p w14:paraId="172BA77E" w14:textId="32DD1566" w:rsidR="00C13EBC" w:rsidRPr="00C13EBC" w:rsidRDefault="00DB2AAB" w:rsidP="00C13EBC">
      <w:pPr>
        <w:shd w:val="clear" w:color="auto" w:fill="FFFFFF"/>
        <w:tabs>
          <w:tab w:val="left" w:pos="5271"/>
        </w:tabs>
        <w:spacing w:after="0"/>
        <w:rPr>
          <w:szCs w:val="20"/>
        </w:rPr>
      </w:pPr>
      <w:r>
        <w:rPr>
          <w:szCs w:val="20"/>
        </w:rPr>
        <w:t xml:space="preserve">As a dedicated instrument under CEF, </w:t>
      </w:r>
      <w:r w:rsidR="00C13EBC" w:rsidRPr="00C13EBC">
        <w:rPr>
          <w:szCs w:val="20"/>
        </w:rPr>
        <w:t>the AFIF support</w:t>
      </w:r>
      <w:r>
        <w:rPr>
          <w:szCs w:val="20"/>
        </w:rPr>
        <w:t>s</w:t>
      </w:r>
      <w:r w:rsidR="00C13EBC" w:rsidRPr="00C13EBC">
        <w:rPr>
          <w:szCs w:val="20"/>
        </w:rPr>
        <w:t xml:space="preserve"> the deployment of alternative fuel supply infrastructure, contributing to decarbonising transport along the TEN-T network.</w:t>
      </w:r>
    </w:p>
    <w:p w14:paraId="00C55D07" w14:textId="77777777" w:rsidR="00C13EBC" w:rsidRPr="00C13EBC" w:rsidRDefault="00C13EBC" w:rsidP="00C13EBC">
      <w:pPr>
        <w:shd w:val="clear" w:color="auto" w:fill="FFFFFF"/>
        <w:tabs>
          <w:tab w:val="left" w:pos="5271"/>
        </w:tabs>
        <w:spacing w:after="0"/>
        <w:rPr>
          <w:szCs w:val="20"/>
        </w:rPr>
      </w:pPr>
    </w:p>
    <w:p w14:paraId="767ACE6D" w14:textId="796B2974" w:rsidR="00C13EBC" w:rsidRDefault="00C13EBC" w:rsidP="00C13EBC">
      <w:pPr>
        <w:shd w:val="clear" w:color="auto" w:fill="FFFFFF"/>
        <w:tabs>
          <w:tab w:val="left" w:pos="5271"/>
        </w:tabs>
        <w:spacing w:after="0"/>
        <w:rPr>
          <w:szCs w:val="20"/>
        </w:rPr>
      </w:pPr>
      <w:r w:rsidRPr="00C13EBC">
        <w:rPr>
          <w:szCs w:val="20"/>
        </w:rPr>
        <w:t xml:space="preserve">With a total budget of </w:t>
      </w:r>
      <w:r>
        <w:rPr>
          <w:szCs w:val="20"/>
        </w:rPr>
        <w:t xml:space="preserve">EUR </w:t>
      </w:r>
      <w:r w:rsidRPr="00C13EBC">
        <w:rPr>
          <w:szCs w:val="20"/>
        </w:rPr>
        <w:t xml:space="preserve">1.5 billion, AFIF </w:t>
      </w:r>
      <w:r w:rsidR="00DF477E">
        <w:rPr>
          <w:szCs w:val="20"/>
        </w:rPr>
        <w:t>provides</w:t>
      </w:r>
      <w:r w:rsidR="00697B89">
        <w:rPr>
          <w:szCs w:val="20"/>
        </w:rPr>
        <w:t xml:space="preserve"> </w:t>
      </w:r>
      <w:r w:rsidRPr="00C13EBC">
        <w:rPr>
          <w:szCs w:val="20"/>
        </w:rPr>
        <w:t xml:space="preserve">grants </w:t>
      </w:r>
      <w:r w:rsidR="00DF477E">
        <w:rPr>
          <w:szCs w:val="20"/>
        </w:rPr>
        <w:t xml:space="preserve">in combination </w:t>
      </w:r>
      <w:r w:rsidRPr="00C13EBC">
        <w:rPr>
          <w:szCs w:val="20"/>
        </w:rPr>
        <w:t xml:space="preserve">with </w:t>
      </w:r>
      <w:r w:rsidR="00FB511F">
        <w:rPr>
          <w:szCs w:val="20"/>
        </w:rPr>
        <w:t xml:space="preserve">financing </w:t>
      </w:r>
      <w:r w:rsidRPr="00C13EBC">
        <w:rPr>
          <w:szCs w:val="20"/>
        </w:rPr>
        <w:t xml:space="preserve">from financial institutions to achieve a higher impact of the </w:t>
      </w:r>
      <w:r w:rsidR="00FB511F">
        <w:rPr>
          <w:szCs w:val="20"/>
        </w:rPr>
        <w:t>EU grants</w:t>
      </w:r>
      <w:r w:rsidRPr="00C13EBC">
        <w:rPr>
          <w:szCs w:val="20"/>
        </w:rPr>
        <w:t>.</w:t>
      </w:r>
    </w:p>
    <w:p w14:paraId="0D3C0FBB" w14:textId="77777777" w:rsidR="00DD1858" w:rsidRDefault="00DD1858" w:rsidP="003C2C54">
      <w:pPr>
        <w:shd w:val="clear" w:color="auto" w:fill="FFFFFF"/>
        <w:tabs>
          <w:tab w:val="left" w:pos="5271"/>
        </w:tabs>
        <w:spacing w:after="0"/>
        <w:rPr>
          <w:szCs w:val="20"/>
        </w:rPr>
      </w:pPr>
    </w:p>
    <w:p w14:paraId="7FA18CB5" w14:textId="43A7902C" w:rsidR="009318F5" w:rsidRPr="00243F23" w:rsidRDefault="009318F5" w:rsidP="009318F5">
      <w:pPr>
        <w:shd w:val="clear" w:color="auto" w:fill="FFFFFF"/>
        <w:spacing w:after="0"/>
        <w:rPr>
          <w:b/>
          <w:bCs/>
          <w:color w:val="000000"/>
          <w:szCs w:val="20"/>
          <w:bdr w:val="none" w:sz="0" w:space="0" w:color="auto" w:frame="1"/>
        </w:rPr>
      </w:pPr>
      <w:r w:rsidRPr="00243F23">
        <w:rPr>
          <w:b/>
          <w:bCs/>
          <w:color w:val="000000"/>
          <w:szCs w:val="20"/>
          <w:bdr w:val="none" w:sz="0" w:space="0" w:color="auto" w:frame="1"/>
        </w:rPr>
        <w:t xml:space="preserve">What types of projects </w:t>
      </w:r>
      <w:r w:rsidR="00A749B3">
        <w:rPr>
          <w:b/>
          <w:bCs/>
          <w:color w:val="000000"/>
          <w:szCs w:val="20"/>
          <w:bdr w:val="none" w:sz="0" w:space="0" w:color="auto" w:frame="1"/>
        </w:rPr>
        <w:t>c</w:t>
      </w:r>
      <w:r w:rsidR="00C13EBC">
        <w:rPr>
          <w:b/>
          <w:bCs/>
          <w:color w:val="000000"/>
          <w:szCs w:val="20"/>
          <w:bdr w:val="none" w:sz="0" w:space="0" w:color="auto" w:frame="1"/>
        </w:rPr>
        <w:t>an</w:t>
      </w:r>
      <w:r w:rsidR="00A749B3">
        <w:rPr>
          <w:b/>
          <w:bCs/>
          <w:color w:val="000000"/>
          <w:szCs w:val="20"/>
          <w:bdr w:val="none" w:sz="0" w:space="0" w:color="auto" w:frame="1"/>
        </w:rPr>
        <w:t xml:space="preserve"> </w:t>
      </w:r>
      <w:r w:rsidRPr="00243F23">
        <w:rPr>
          <w:b/>
          <w:bCs/>
          <w:color w:val="000000"/>
          <w:szCs w:val="20"/>
          <w:bdr w:val="none" w:sz="0" w:space="0" w:color="auto" w:frame="1"/>
        </w:rPr>
        <w:t>receive funding?</w:t>
      </w:r>
    </w:p>
    <w:p w14:paraId="606724C6" w14:textId="697004BF" w:rsidR="00C13EBC" w:rsidRDefault="00DF477E" w:rsidP="009318F5">
      <w:pPr>
        <w:shd w:val="clear" w:color="auto" w:fill="FFFFFF"/>
        <w:spacing w:before="120" w:after="60"/>
        <w:rPr>
          <w:b/>
          <w:bCs/>
          <w:color w:val="000000"/>
          <w:szCs w:val="20"/>
          <w:highlight w:val="yellow"/>
          <w:bdr w:val="none" w:sz="0" w:space="0" w:color="auto" w:frame="1"/>
        </w:rPr>
      </w:pPr>
      <w:r>
        <w:rPr>
          <w:bCs/>
          <w:szCs w:val="20"/>
        </w:rPr>
        <w:t>Support is provided to investment projects deploy</w:t>
      </w:r>
      <w:r w:rsidR="00FB511F">
        <w:rPr>
          <w:bCs/>
          <w:szCs w:val="20"/>
        </w:rPr>
        <w:t>ing</w:t>
      </w:r>
      <w:r>
        <w:rPr>
          <w:bCs/>
          <w:szCs w:val="20"/>
        </w:rPr>
        <w:t xml:space="preserve"> alternative fuel infrastructure</w:t>
      </w:r>
      <w:r w:rsidR="00245EB4">
        <w:rPr>
          <w:bCs/>
          <w:color w:val="000000"/>
          <w:szCs w:val="20"/>
        </w:rPr>
        <w:t xml:space="preserve">, </w:t>
      </w:r>
      <w:r w:rsidR="00245EB4" w:rsidRPr="00245EB4">
        <w:rPr>
          <w:szCs w:val="20"/>
        </w:rPr>
        <w:t>including electricity fast-charging and hydrogen refuelling infrastruct</w:t>
      </w:r>
      <w:r w:rsidR="00245EB4">
        <w:rPr>
          <w:szCs w:val="20"/>
        </w:rPr>
        <w:t>ure on the TEN-T road network.</w:t>
      </w:r>
    </w:p>
    <w:p w14:paraId="16DF8C45" w14:textId="77777777" w:rsidR="00091568" w:rsidRDefault="00200293" w:rsidP="00091568">
      <w:pPr>
        <w:shd w:val="clear" w:color="auto" w:fill="FFFFFF"/>
        <w:spacing w:before="120" w:after="60"/>
        <w:rPr>
          <w:b/>
          <w:bCs/>
          <w:color w:val="000000"/>
          <w:szCs w:val="20"/>
          <w:bdr w:val="none" w:sz="0" w:space="0" w:color="auto" w:frame="1"/>
        </w:rPr>
      </w:pPr>
      <w:r>
        <w:rPr>
          <w:b/>
          <w:bCs/>
          <w:color w:val="000000"/>
          <w:szCs w:val="20"/>
          <w:highlight w:val="yellow"/>
          <w:bdr w:val="none" w:sz="0" w:space="0" w:color="auto" w:frame="1"/>
        </w:rPr>
        <w:br/>
      </w:r>
    </w:p>
    <w:p w14:paraId="4A77781F" w14:textId="77777777" w:rsidR="00091568" w:rsidRDefault="00091568" w:rsidP="00091568">
      <w:pPr>
        <w:shd w:val="clear" w:color="auto" w:fill="FFFFFF"/>
        <w:spacing w:before="120" w:after="60"/>
        <w:rPr>
          <w:b/>
          <w:bCs/>
          <w:color w:val="000000"/>
          <w:szCs w:val="20"/>
          <w:bdr w:val="none" w:sz="0" w:space="0" w:color="auto" w:frame="1"/>
        </w:rPr>
      </w:pPr>
    </w:p>
    <w:p w14:paraId="3B943EAA" w14:textId="77777777" w:rsidR="00091568" w:rsidRDefault="00091568" w:rsidP="00091568">
      <w:pPr>
        <w:shd w:val="clear" w:color="auto" w:fill="FFFFFF"/>
        <w:spacing w:before="120" w:after="60"/>
        <w:rPr>
          <w:b/>
          <w:bCs/>
          <w:color w:val="000000"/>
          <w:szCs w:val="20"/>
          <w:bdr w:val="none" w:sz="0" w:space="0" w:color="auto" w:frame="1"/>
        </w:rPr>
      </w:pPr>
    </w:p>
    <w:p w14:paraId="388C4BA8" w14:textId="77777777" w:rsidR="00304816" w:rsidRDefault="00304816" w:rsidP="00091568">
      <w:pPr>
        <w:shd w:val="clear" w:color="auto" w:fill="FFFFFF"/>
        <w:spacing w:before="120" w:after="60"/>
        <w:rPr>
          <w:b/>
          <w:bCs/>
          <w:color w:val="000000"/>
          <w:szCs w:val="20"/>
          <w:bdr w:val="none" w:sz="0" w:space="0" w:color="auto" w:frame="1"/>
        </w:rPr>
      </w:pPr>
    </w:p>
    <w:p w14:paraId="519E0284" w14:textId="77777777" w:rsidR="00091568" w:rsidRDefault="00091568" w:rsidP="00091568">
      <w:pPr>
        <w:shd w:val="clear" w:color="auto" w:fill="FFFFFF"/>
        <w:spacing w:before="120" w:after="60"/>
        <w:rPr>
          <w:b/>
          <w:bCs/>
          <w:color w:val="000000"/>
          <w:szCs w:val="20"/>
          <w:bdr w:val="none" w:sz="0" w:space="0" w:color="auto" w:frame="1"/>
        </w:rPr>
      </w:pPr>
    </w:p>
    <w:p w14:paraId="581BEEAC" w14:textId="77777777" w:rsidR="000335B8" w:rsidRDefault="000335B8" w:rsidP="00091568">
      <w:pPr>
        <w:shd w:val="clear" w:color="auto" w:fill="FFFFFF"/>
        <w:spacing w:before="120" w:after="60"/>
        <w:rPr>
          <w:b/>
          <w:bCs/>
          <w:color w:val="000000"/>
          <w:szCs w:val="20"/>
          <w:bdr w:val="none" w:sz="0" w:space="0" w:color="auto" w:frame="1"/>
        </w:rPr>
      </w:pPr>
    </w:p>
    <w:p w14:paraId="5DA6DB5E" w14:textId="1CA6E7E3" w:rsidR="009318F5" w:rsidRDefault="001F4C2B" w:rsidP="00091568">
      <w:pPr>
        <w:shd w:val="clear" w:color="auto" w:fill="FFFFFF"/>
        <w:spacing w:before="120" w:after="60"/>
        <w:rPr>
          <w:b/>
          <w:bCs/>
          <w:color w:val="000000"/>
          <w:szCs w:val="20"/>
          <w:bdr w:val="none" w:sz="0" w:space="0" w:color="auto" w:frame="1"/>
        </w:rPr>
      </w:pPr>
      <w:r>
        <w:rPr>
          <w:b/>
          <w:bCs/>
          <w:color w:val="000000"/>
          <w:szCs w:val="20"/>
          <w:bdr w:val="none" w:sz="0" w:space="0" w:color="auto" w:frame="1"/>
        </w:rPr>
        <w:lastRenderedPageBreak/>
        <w:t xml:space="preserve">What kind of </w:t>
      </w:r>
      <w:r w:rsidR="00FB511F">
        <w:rPr>
          <w:b/>
          <w:bCs/>
          <w:color w:val="000000"/>
          <w:szCs w:val="20"/>
          <w:bdr w:val="none" w:sz="0" w:space="0" w:color="auto" w:frame="1"/>
        </w:rPr>
        <w:t xml:space="preserve">alternative fuel </w:t>
      </w:r>
      <w:r>
        <w:rPr>
          <w:b/>
          <w:bCs/>
          <w:color w:val="000000"/>
          <w:szCs w:val="20"/>
          <w:bdr w:val="none" w:sz="0" w:space="0" w:color="auto" w:frame="1"/>
        </w:rPr>
        <w:t xml:space="preserve">infrastructure has </w:t>
      </w:r>
      <w:r w:rsidR="000335B8">
        <w:rPr>
          <w:b/>
          <w:bCs/>
          <w:color w:val="000000"/>
          <w:szCs w:val="20"/>
          <w:bdr w:val="none" w:sz="0" w:space="0" w:color="auto" w:frame="1"/>
        </w:rPr>
        <w:br/>
        <w:t xml:space="preserve">AFIF </w:t>
      </w:r>
      <w:r>
        <w:rPr>
          <w:b/>
          <w:bCs/>
          <w:color w:val="000000"/>
          <w:szCs w:val="20"/>
          <w:bdr w:val="none" w:sz="0" w:space="0" w:color="auto" w:frame="1"/>
        </w:rPr>
        <w:t xml:space="preserve">supported </w:t>
      </w:r>
      <w:r w:rsidR="00A913DF" w:rsidRPr="009524B9">
        <w:rPr>
          <w:b/>
          <w:bCs/>
          <w:color w:val="000000"/>
          <w:szCs w:val="20"/>
          <w:bdr w:val="none" w:sz="0" w:space="0" w:color="auto" w:frame="1"/>
        </w:rPr>
        <w:t>so far</w:t>
      </w:r>
      <w:r>
        <w:rPr>
          <w:b/>
          <w:bCs/>
          <w:color w:val="000000"/>
          <w:szCs w:val="20"/>
          <w:bdr w:val="none" w:sz="0" w:space="0" w:color="auto" w:frame="1"/>
        </w:rPr>
        <w:t xml:space="preserve"> </w:t>
      </w:r>
      <w:r w:rsidR="000335B8">
        <w:rPr>
          <w:b/>
          <w:bCs/>
          <w:color w:val="000000"/>
          <w:szCs w:val="20"/>
          <w:bdr w:val="none" w:sz="0" w:space="0" w:color="auto" w:frame="1"/>
        </w:rPr>
        <w:t xml:space="preserve">and </w:t>
      </w:r>
      <w:r>
        <w:rPr>
          <w:b/>
          <w:bCs/>
          <w:color w:val="000000"/>
          <w:szCs w:val="20"/>
          <w:bdr w:val="none" w:sz="0" w:space="0" w:color="auto" w:frame="1"/>
        </w:rPr>
        <w:t>at which scale</w:t>
      </w:r>
      <w:r w:rsidR="009318F5" w:rsidRPr="009524B9">
        <w:rPr>
          <w:b/>
          <w:bCs/>
          <w:color w:val="000000"/>
          <w:szCs w:val="20"/>
          <w:bdr w:val="none" w:sz="0" w:space="0" w:color="auto" w:frame="1"/>
        </w:rPr>
        <w:t>?</w:t>
      </w:r>
    </w:p>
    <w:p w14:paraId="40F9D226" w14:textId="77777777" w:rsidR="0056540D" w:rsidRDefault="0056540D" w:rsidP="00091568">
      <w:pPr>
        <w:shd w:val="clear" w:color="auto" w:fill="FFFFFF"/>
        <w:spacing w:before="120" w:after="60"/>
        <w:rPr>
          <w:b/>
          <w:bCs/>
          <w:color w:val="000000"/>
          <w:szCs w:val="20"/>
          <w:bdr w:val="none" w:sz="0" w:space="0" w:color="auto" w:frame="1"/>
        </w:rPr>
      </w:pPr>
    </w:p>
    <w:p w14:paraId="663AAD2B" w14:textId="15025D4A" w:rsidR="00052FEA" w:rsidRDefault="00052FEA" w:rsidP="00091568">
      <w:pPr>
        <w:shd w:val="clear" w:color="auto" w:fill="FFFFFF"/>
        <w:spacing w:before="120" w:after="60"/>
        <w:rPr>
          <w:b/>
          <w:bCs/>
          <w:color w:val="000000"/>
          <w:szCs w:val="20"/>
          <w:bdr w:val="none" w:sz="0" w:space="0" w:color="auto" w:frame="1"/>
        </w:rPr>
      </w:pPr>
      <w:r>
        <w:rPr>
          <w:b/>
          <w:bCs/>
          <w:color w:val="000000"/>
          <w:szCs w:val="20"/>
          <w:bdr w:val="none" w:sz="0" w:space="0" w:color="auto" w:frame="1"/>
        </w:rPr>
        <w:t>Roads</w:t>
      </w:r>
    </w:p>
    <w:p w14:paraId="4702FC60" w14:textId="7C1A5F3B" w:rsidR="0056540D" w:rsidRDefault="0056540D" w:rsidP="0056540D">
      <w:pPr>
        <w:shd w:val="clear" w:color="auto" w:fill="FFFFFF"/>
        <w:spacing w:before="120" w:after="60"/>
        <w:jc w:val="center"/>
        <w:rPr>
          <w:b/>
          <w:bCs/>
          <w:color w:val="000000"/>
          <w:szCs w:val="2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AC456E4" wp14:editId="6A60DF70">
            <wp:extent cx="4238625" cy="2371725"/>
            <wp:effectExtent l="0" t="0" r="9525" b="952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EE62DA5C-5D5D-40A2-B4C5-52EE850A28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9757959" w14:textId="77777777" w:rsidR="0056540D" w:rsidRDefault="0056540D" w:rsidP="00091568">
      <w:pPr>
        <w:shd w:val="clear" w:color="auto" w:fill="FFFFFF"/>
        <w:spacing w:before="120" w:after="60"/>
        <w:rPr>
          <w:b/>
          <w:bCs/>
          <w:color w:val="000000"/>
          <w:szCs w:val="20"/>
          <w:bdr w:val="none" w:sz="0" w:space="0" w:color="auto" w:frame="1"/>
        </w:rPr>
      </w:pPr>
    </w:p>
    <w:p w14:paraId="27A52771" w14:textId="060CF3A0" w:rsidR="004B44AC" w:rsidRPr="00FD166C" w:rsidRDefault="004B44AC" w:rsidP="009524B9">
      <w:pPr>
        <w:shd w:val="clear" w:color="auto" w:fill="FFFFFF"/>
        <w:spacing w:before="120" w:after="60"/>
        <w:rPr>
          <w:szCs w:val="20"/>
        </w:rPr>
      </w:pPr>
      <w:r w:rsidRPr="00FD166C">
        <w:rPr>
          <w:szCs w:val="20"/>
        </w:rPr>
        <w:t xml:space="preserve">Under the </w:t>
      </w:r>
      <w:r w:rsidR="00697B89" w:rsidRPr="00FD166C">
        <w:rPr>
          <w:szCs w:val="20"/>
        </w:rPr>
        <w:t>5</w:t>
      </w:r>
      <w:r w:rsidRPr="00FD166C">
        <w:rPr>
          <w:szCs w:val="20"/>
          <w:vertAlign w:val="superscript"/>
        </w:rPr>
        <w:t>th</w:t>
      </w:r>
      <w:r w:rsidRPr="00FD166C">
        <w:rPr>
          <w:szCs w:val="20"/>
        </w:rPr>
        <w:t xml:space="preserve"> cut-off, </w:t>
      </w:r>
      <w:r w:rsidR="00FD166C" w:rsidRPr="00FD166C">
        <w:rPr>
          <w:szCs w:val="20"/>
        </w:rPr>
        <w:t xml:space="preserve">more than </w:t>
      </w:r>
      <w:r w:rsidR="00FD166C" w:rsidRPr="000335B8">
        <w:rPr>
          <w:b/>
          <w:bCs/>
          <w:szCs w:val="20"/>
        </w:rPr>
        <w:t>780</w:t>
      </w:r>
      <w:r w:rsidRPr="000335B8">
        <w:rPr>
          <w:b/>
          <w:bCs/>
          <w:szCs w:val="20"/>
        </w:rPr>
        <w:t xml:space="preserve"> charging stations</w:t>
      </w:r>
      <w:r w:rsidRPr="00FD166C">
        <w:rPr>
          <w:szCs w:val="20"/>
        </w:rPr>
        <w:t xml:space="preserve"> </w:t>
      </w:r>
      <w:r w:rsidR="00052FEA">
        <w:rPr>
          <w:szCs w:val="20"/>
        </w:rPr>
        <w:t xml:space="preserve">for road transport </w:t>
      </w:r>
      <w:r w:rsidRPr="00FD166C">
        <w:rPr>
          <w:szCs w:val="20"/>
        </w:rPr>
        <w:t xml:space="preserve">will be supported, bringing the total </w:t>
      </w:r>
      <w:r w:rsidR="00DA135D" w:rsidRPr="00DA135D">
        <w:rPr>
          <w:szCs w:val="20"/>
        </w:rPr>
        <w:t xml:space="preserve">for the five cut-offs </w:t>
      </w:r>
      <w:r w:rsidRPr="00FD166C">
        <w:rPr>
          <w:szCs w:val="20"/>
        </w:rPr>
        <w:t>to</w:t>
      </w:r>
      <w:r w:rsidR="00FD166C" w:rsidRPr="00FD166C">
        <w:rPr>
          <w:szCs w:val="20"/>
        </w:rPr>
        <w:t xml:space="preserve"> more than 4,700</w:t>
      </w:r>
      <w:r w:rsidRPr="00FD166C">
        <w:rPr>
          <w:szCs w:val="20"/>
        </w:rPr>
        <w:t xml:space="preserve"> stations.</w:t>
      </w:r>
    </w:p>
    <w:p w14:paraId="7016251D" w14:textId="36BC9CCE" w:rsidR="00052FEA" w:rsidRDefault="00091568" w:rsidP="009524B9">
      <w:pPr>
        <w:shd w:val="clear" w:color="auto" w:fill="FFFFFF"/>
        <w:spacing w:before="120" w:after="60"/>
        <w:rPr>
          <w:szCs w:val="20"/>
        </w:rPr>
      </w:pPr>
      <w:r w:rsidRPr="00091568">
        <w:rPr>
          <w:szCs w:val="20"/>
        </w:rPr>
        <w:t>The</w:t>
      </w:r>
      <w:r w:rsidR="00FB511F">
        <w:rPr>
          <w:szCs w:val="20"/>
        </w:rPr>
        <w:t>se</w:t>
      </w:r>
      <w:r w:rsidR="009524B9" w:rsidRPr="00091568">
        <w:rPr>
          <w:szCs w:val="20"/>
        </w:rPr>
        <w:t xml:space="preserve"> </w:t>
      </w:r>
      <w:r w:rsidR="00200293" w:rsidRPr="00091568">
        <w:rPr>
          <w:szCs w:val="20"/>
        </w:rPr>
        <w:t xml:space="preserve">stations </w:t>
      </w:r>
      <w:r w:rsidR="009524B9" w:rsidRPr="00091568">
        <w:rPr>
          <w:szCs w:val="20"/>
        </w:rPr>
        <w:t xml:space="preserve">feature </w:t>
      </w:r>
      <w:r w:rsidR="00FB511F">
        <w:rPr>
          <w:szCs w:val="20"/>
        </w:rPr>
        <w:t xml:space="preserve">around </w:t>
      </w:r>
      <w:r w:rsidRPr="00091568">
        <w:rPr>
          <w:szCs w:val="20"/>
        </w:rPr>
        <w:t>26,</w:t>
      </w:r>
      <w:r w:rsidR="00FB511F">
        <w:rPr>
          <w:szCs w:val="20"/>
        </w:rPr>
        <w:t>500</w:t>
      </w:r>
      <w:r w:rsidR="00200293" w:rsidRPr="00091568">
        <w:rPr>
          <w:szCs w:val="20"/>
        </w:rPr>
        <w:t xml:space="preserve"> recharging points, of which </w:t>
      </w:r>
      <w:r w:rsidR="00FB511F">
        <w:rPr>
          <w:szCs w:val="20"/>
        </w:rPr>
        <w:t>close to 24,000</w:t>
      </w:r>
      <w:r w:rsidR="00200293" w:rsidRPr="00091568">
        <w:rPr>
          <w:szCs w:val="20"/>
        </w:rPr>
        <w:t xml:space="preserve"> </w:t>
      </w:r>
      <w:r w:rsidR="009524B9" w:rsidRPr="00091568">
        <w:rPr>
          <w:szCs w:val="20"/>
        </w:rPr>
        <w:t>have</w:t>
      </w:r>
      <w:r w:rsidR="00200293" w:rsidRPr="00091568">
        <w:rPr>
          <w:szCs w:val="20"/>
        </w:rPr>
        <w:t xml:space="preserve"> a power capacity of 150 kW and </w:t>
      </w:r>
      <w:r w:rsidR="00FB511F">
        <w:rPr>
          <w:szCs w:val="20"/>
        </w:rPr>
        <w:t>almost 2</w:t>
      </w:r>
      <w:r w:rsidR="000335B8">
        <w:rPr>
          <w:szCs w:val="20"/>
        </w:rPr>
        <w:t>,</w:t>
      </w:r>
      <w:r w:rsidR="00FB511F">
        <w:rPr>
          <w:szCs w:val="20"/>
        </w:rPr>
        <w:t xml:space="preserve">500 </w:t>
      </w:r>
      <w:r w:rsidR="009524B9" w:rsidRPr="00091568">
        <w:rPr>
          <w:szCs w:val="20"/>
        </w:rPr>
        <w:t>of</w:t>
      </w:r>
      <w:r w:rsidR="00200293" w:rsidRPr="00091568">
        <w:rPr>
          <w:szCs w:val="20"/>
        </w:rPr>
        <w:t xml:space="preserve"> 350 kW. These recharging points will be deployed in 25 Member States.</w:t>
      </w:r>
    </w:p>
    <w:p w14:paraId="41C615F8" w14:textId="77777777" w:rsidR="00091568" w:rsidRDefault="00091568" w:rsidP="009524B9">
      <w:pPr>
        <w:shd w:val="clear" w:color="auto" w:fill="FFFFFF"/>
        <w:spacing w:before="120" w:after="60"/>
        <w:rPr>
          <w:szCs w:val="20"/>
        </w:rPr>
      </w:pPr>
    </w:p>
    <w:p w14:paraId="74768645" w14:textId="772E24E0" w:rsidR="00091568" w:rsidRDefault="0056540D" w:rsidP="0056540D">
      <w:pPr>
        <w:shd w:val="clear" w:color="auto" w:fill="FFFFFF"/>
        <w:spacing w:before="120" w:after="60"/>
        <w:jc w:val="center"/>
        <w:rPr>
          <w:szCs w:val="20"/>
        </w:rPr>
      </w:pPr>
      <w:r>
        <w:rPr>
          <w:noProof/>
        </w:rPr>
        <w:drawing>
          <wp:inline distT="0" distB="0" distL="0" distR="0" wp14:anchorId="40498C07" wp14:editId="01D3D4D2">
            <wp:extent cx="4251960" cy="2505075"/>
            <wp:effectExtent l="0" t="0" r="15240" b="952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DDCBCA34-DCBD-1CF7-76CF-8FFD37AB49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602F39B" w14:textId="77777777" w:rsidR="00091568" w:rsidRDefault="00091568" w:rsidP="009524B9">
      <w:pPr>
        <w:shd w:val="clear" w:color="auto" w:fill="FFFFFF"/>
        <w:spacing w:before="120" w:after="60"/>
        <w:rPr>
          <w:szCs w:val="20"/>
        </w:rPr>
      </w:pPr>
    </w:p>
    <w:p w14:paraId="29E5F291" w14:textId="48E3983A" w:rsidR="0056540D" w:rsidRDefault="0056540D" w:rsidP="009524B9">
      <w:pPr>
        <w:shd w:val="clear" w:color="auto" w:fill="FFFFFF"/>
        <w:spacing w:before="120" w:after="60"/>
        <w:rPr>
          <w:szCs w:val="20"/>
        </w:rPr>
      </w:pPr>
      <w:r>
        <w:rPr>
          <w:szCs w:val="20"/>
        </w:rPr>
        <w:t xml:space="preserve">Under </w:t>
      </w:r>
      <w:r w:rsidR="00AA602D">
        <w:rPr>
          <w:szCs w:val="20"/>
        </w:rPr>
        <w:t>the same</w:t>
      </w:r>
      <w:r>
        <w:rPr>
          <w:szCs w:val="20"/>
        </w:rPr>
        <w:t xml:space="preserve"> cut-off </w:t>
      </w:r>
      <w:r w:rsidR="00FB511F">
        <w:rPr>
          <w:szCs w:val="20"/>
        </w:rPr>
        <w:t xml:space="preserve">around 50 </w:t>
      </w:r>
      <w:r>
        <w:rPr>
          <w:szCs w:val="20"/>
        </w:rPr>
        <w:t xml:space="preserve">Hydrogen Refuelling Stations </w:t>
      </w:r>
      <w:r w:rsidR="00052FEA">
        <w:rPr>
          <w:szCs w:val="20"/>
        </w:rPr>
        <w:t xml:space="preserve">for road transport </w:t>
      </w:r>
      <w:r>
        <w:rPr>
          <w:szCs w:val="20"/>
        </w:rPr>
        <w:t xml:space="preserve">will be supported, bringing the total so far to </w:t>
      </w:r>
      <w:r w:rsidR="00EA7E41">
        <w:rPr>
          <w:szCs w:val="20"/>
        </w:rPr>
        <w:t>over 200</w:t>
      </w:r>
      <w:r>
        <w:rPr>
          <w:szCs w:val="20"/>
        </w:rPr>
        <w:t>.</w:t>
      </w:r>
      <w:r w:rsidR="00AA602D">
        <w:rPr>
          <w:szCs w:val="20"/>
        </w:rPr>
        <w:t xml:space="preserve"> </w:t>
      </w:r>
      <w:r w:rsidR="00200293" w:rsidRPr="0059776A">
        <w:rPr>
          <w:szCs w:val="20"/>
        </w:rPr>
        <w:t>The</w:t>
      </w:r>
      <w:r>
        <w:rPr>
          <w:szCs w:val="20"/>
        </w:rPr>
        <w:t>se</w:t>
      </w:r>
      <w:r w:rsidR="006D24F2">
        <w:rPr>
          <w:szCs w:val="20"/>
        </w:rPr>
        <w:t xml:space="preserve"> 200 stations</w:t>
      </w:r>
      <w:r w:rsidR="00200293" w:rsidRPr="0059776A">
        <w:rPr>
          <w:szCs w:val="20"/>
        </w:rPr>
        <w:t xml:space="preserve"> will be </w:t>
      </w:r>
      <w:r w:rsidR="00200293" w:rsidRPr="006E2E3A">
        <w:rPr>
          <w:szCs w:val="20"/>
        </w:rPr>
        <w:t>deployed in 1</w:t>
      </w:r>
      <w:r w:rsidR="006E2E3A" w:rsidRPr="006E2E3A">
        <w:rPr>
          <w:szCs w:val="20"/>
        </w:rPr>
        <w:t>3</w:t>
      </w:r>
      <w:r w:rsidR="00200293" w:rsidRPr="006E2E3A">
        <w:rPr>
          <w:szCs w:val="20"/>
        </w:rPr>
        <w:t xml:space="preserve"> Member States</w:t>
      </w:r>
      <w:r w:rsidR="006D24F2">
        <w:rPr>
          <w:szCs w:val="20"/>
        </w:rPr>
        <w:t xml:space="preserve"> and </w:t>
      </w:r>
      <w:r w:rsidR="00FB511F">
        <w:rPr>
          <w:szCs w:val="20"/>
        </w:rPr>
        <w:t xml:space="preserve">feature </w:t>
      </w:r>
      <w:r w:rsidR="0059776A" w:rsidRPr="0059776A">
        <w:rPr>
          <w:szCs w:val="20"/>
        </w:rPr>
        <w:t>32</w:t>
      </w:r>
      <w:r w:rsidR="00200293" w:rsidRPr="0059776A">
        <w:rPr>
          <w:szCs w:val="20"/>
        </w:rPr>
        <w:t xml:space="preserve"> electrolysers</w:t>
      </w:r>
      <w:r w:rsidR="00FB511F">
        <w:rPr>
          <w:szCs w:val="20"/>
        </w:rPr>
        <w:t xml:space="preserve"> allowing to produce hydrogen on site</w:t>
      </w:r>
      <w:r w:rsidR="00200293" w:rsidRPr="0059776A">
        <w:rPr>
          <w:szCs w:val="20"/>
        </w:rPr>
        <w:t>.</w:t>
      </w:r>
      <w:r w:rsidR="002B656A" w:rsidRPr="0059776A">
        <w:rPr>
          <w:szCs w:val="20"/>
        </w:rPr>
        <w:t xml:space="preserve"> </w:t>
      </w:r>
    </w:p>
    <w:p w14:paraId="1DB765A5" w14:textId="77777777" w:rsidR="00052FEA" w:rsidRDefault="00052FEA" w:rsidP="009524B9">
      <w:pPr>
        <w:shd w:val="clear" w:color="auto" w:fill="FFFFFF"/>
        <w:spacing w:before="120" w:after="60"/>
        <w:rPr>
          <w:szCs w:val="20"/>
        </w:rPr>
      </w:pPr>
    </w:p>
    <w:p w14:paraId="47D73920" w14:textId="77777777" w:rsidR="00052FEA" w:rsidRDefault="00052FEA" w:rsidP="009524B9">
      <w:pPr>
        <w:shd w:val="clear" w:color="auto" w:fill="FFFFFF"/>
        <w:spacing w:before="120" w:after="60"/>
        <w:rPr>
          <w:szCs w:val="20"/>
        </w:rPr>
      </w:pPr>
    </w:p>
    <w:p w14:paraId="59D17E57" w14:textId="77777777" w:rsidR="00052FEA" w:rsidRDefault="00052FEA" w:rsidP="009524B9">
      <w:pPr>
        <w:shd w:val="clear" w:color="auto" w:fill="FFFFFF"/>
        <w:spacing w:before="120" w:after="60"/>
        <w:rPr>
          <w:szCs w:val="20"/>
        </w:rPr>
      </w:pPr>
    </w:p>
    <w:p w14:paraId="006821AC" w14:textId="77777777" w:rsidR="00052FEA" w:rsidRDefault="00052FEA" w:rsidP="009524B9">
      <w:pPr>
        <w:shd w:val="clear" w:color="auto" w:fill="FFFFFF"/>
        <w:spacing w:before="120" w:after="60"/>
        <w:rPr>
          <w:szCs w:val="20"/>
        </w:rPr>
      </w:pPr>
    </w:p>
    <w:p w14:paraId="1D7DE902" w14:textId="6D725BBA" w:rsidR="00052FEA" w:rsidRPr="00052FEA" w:rsidRDefault="00052FEA" w:rsidP="009524B9">
      <w:pPr>
        <w:shd w:val="clear" w:color="auto" w:fill="FFFFFF"/>
        <w:spacing w:before="120" w:after="60"/>
        <w:rPr>
          <w:b/>
          <w:bCs/>
          <w:szCs w:val="20"/>
        </w:rPr>
      </w:pPr>
      <w:r w:rsidRPr="00052FEA">
        <w:rPr>
          <w:b/>
          <w:bCs/>
          <w:szCs w:val="20"/>
        </w:rPr>
        <w:lastRenderedPageBreak/>
        <w:t>Airports</w:t>
      </w:r>
    </w:p>
    <w:p w14:paraId="29822E2D" w14:textId="07B933F7" w:rsidR="009524B9" w:rsidRDefault="00052FEA" w:rsidP="009524B9">
      <w:pPr>
        <w:shd w:val="clear" w:color="auto" w:fill="FFFFFF"/>
        <w:spacing w:before="120" w:after="60"/>
        <w:rPr>
          <w:szCs w:val="20"/>
        </w:rPr>
      </w:pPr>
      <w:r>
        <w:rPr>
          <w:szCs w:val="20"/>
        </w:rPr>
        <w:t xml:space="preserve">Under this cut-off, 21 European airports will receive funding from AFIF to electrify ground operations, </w:t>
      </w:r>
      <w:r w:rsidR="00466B7F">
        <w:rPr>
          <w:szCs w:val="20"/>
        </w:rPr>
        <w:t>totalling</w:t>
      </w:r>
      <w:r w:rsidR="00200293" w:rsidRPr="0059776A">
        <w:rPr>
          <w:szCs w:val="20"/>
        </w:rPr>
        <w:t xml:space="preserve"> </w:t>
      </w:r>
      <w:r w:rsidR="0059776A" w:rsidRPr="0059776A">
        <w:rPr>
          <w:szCs w:val="20"/>
        </w:rPr>
        <w:t>63</w:t>
      </w:r>
      <w:r w:rsidR="00200293" w:rsidRPr="0059776A">
        <w:rPr>
          <w:szCs w:val="20"/>
        </w:rPr>
        <w:t xml:space="preserve"> airports in </w:t>
      </w:r>
      <w:r w:rsidR="0059776A" w:rsidRPr="0059776A">
        <w:rPr>
          <w:szCs w:val="20"/>
        </w:rPr>
        <w:t>11</w:t>
      </w:r>
      <w:r w:rsidR="00200293" w:rsidRPr="0059776A">
        <w:rPr>
          <w:szCs w:val="20"/>
        </w:rPr>
        <w:t xml:space="preserve"> Member States</w:t>
      </w:r>
      <w:r w:rsidR="00466B7F">
        <w:rPr>
          <w:szCs w:val="20"/>
        </w:rPr>
        <w:t xml:space="preserve"> since 2021</w:t>
      </w:r>
      <w:r w:rsidR="00200293" w:rsidRPr="0059776A">
        <w:rPr>
          <w:szCs w:val="20"/>
        </w:rPr>
        <w:t>.</w:t>
      </w:r>
    </w:p>
    <w:p w14:paraId="0B04DD82" w14:textId="77777777" w:rsidR="009524B9" w:rsidRDefault="009524B9" w:rsidP="00200293">
      <w:pPr>
        <w:shd w:val="clear" w:color="auto" w:fill="FFFFFF"/>
        <w:spacing w:after="0"/>
        <w:jc w:val="center"/>
        <w:rPr>
          <w:color w:val="000000"/>
          <w:szCs w:val="20"/>
        </w:rPr>
      </w:pPr>
    </w:p>
    <w:p w14:paraId="6FAF156D" w14:textId="7FBE66DB" w:rsidR="0047605C" w:rsidRPr="009524B9" w:rsidRDefault="009524B9" w:rsidP="00DD1858">
      <w:pPr>
        <w:shd w:val="clear" w:color="auto" w:fill="FFFFFF"/>
        <w:tabs>
          <w:tab w:val="left" w:pos="5271"/>
        </w:tabs>
        <w:spacing w:after="0"/>
        <w:rPr>
          <w:szCs w:val="20"/>
        </w:rPr>
      </w:pPr>
      <w:r w:rsidRPr="009524B9">
        <w:rPr>
          <w:b/>
          <w:bCs/>
          <w:color w:val="000000"/>
          <w:szCs w:val="20"/>
          <w:bdr w:val="none" w:sz="0" w:space="0" w:color="auto" w:frame="1"/>
        </w:rPr>
        <w:t>Total funding to date under AFIF</w:t>
      </w:r>
    </w:p>
    <w:p w14:paraId="31A3CCBA" w14:textId="77777777" w:rsidR="00200293" w:rsidRDefault="00200293" w:rsidP="00DD1858">
      <w:pPr>
        <w:shd w:val="clear" w:color="auto" w:fill="FFFFFF"/>
        <w:tabs>
          <w:tab w:val="left" w:pos="5271"/>
        </w:tabs>
        <w:spacing w:after="0"/>
        <w:rPr>
          <w:szCs w:val="2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951"/>
        <w:gridCol w:w="2394"/>
        <w:gridCol w:w="2349"/>
        <w:gridCol w:w="2593"/>
      </w:tblGrid>
      <w:tr w:rsidR="0061260D" w14:paraId="7F07B04A" w14:textId="77777777" w:rsidTr="00612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6D9F1" w:themeFill="text2" w:themeFillTint="33"/>
          </w:tcPr>
          <w:p w14:paraId="2E063CE3" w14:textId="2F704676" w:rsidR="0061260D" w:rsidRPr="006424BC" w:rsidRDefault="0061260D" w:rsidP="006424BC">
            <w:pPr>
              <w:spacing w:after="0"/>
              <w:jc w:val="center"/>
              <w:rPr>
                <w:color w:val="000000"/>
                <w:szCs w:val="20"/>
                <w:bdr w:val="none" w:sz="0" w:space="0" w:color="auto" w:frame="1"/>
              </w:rPr>
            </w:pPr>
            <w:r w:rsidRPr="006424BC">
              <w:rPr>
                <w:color w:val="000000"/>
                <w:szCs w:val="20"/>
                <w:bdr w:val="none" w:sz="0" w:space="0" w:color="auto" w:frame="1"/>
              </w:rPr>
              <w:t>C</w:t>
            </w:r>
            <w:r w:rsidR="001F4C2B">
              <w:rPr>
                <w:color w:val="000000"/>
                <w:szCs w:val="20"/>
                <w:bdr w:val="none" w:sz="0" w:space="0" w:color="auto" w:frame="1"/>
              </w:rPr>
              <w:t>ut</w:t>
            </w:r>
            <w:r w:rsidR="000335B8">
              <w:rPr>
                <w:color w:val="000000"/>
                <w:szCs w:val="20"/>
                <w:bdr w:val="none" w:sz="0" w:space="0" w:color="auto" w:frame="1"/>
              </w:rPr>
              <w:t>-</w:t>
            </w:r>
            <w:r w:rsidR="001F4C2B">
              <w:rPr>
                <w:color w:val="000000"/>
                <w:szCs w:val="20"/>
                <w:bdr w:val="none" w:sz="0" w:space="0" w:color="auto" w:frame="1"/>
              </w:rPr>
              <w:t>off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14:paraId="55392A84" w14:textId="22A65A92" w:rsidR="0061260D" w:rsidRPr="006424BC" w:rsidRDefault="0061260D" w:rsidP="006424B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  <w:bdr w:val="none" w:sz="0" w:space="0" w:color="auto" w:frame="1"/>
              </w:rPr>
            </w:pPr>
            <w:r w:rsidRPr="006424BC">
              <w:rPr>
                <w:color w:val="000000"/>
                <w:szCs w:val="20"/>
                <w:bdr w:val="none" w:sz="0" w:space="0" w:color="auto" w:frame="1"/>
              </w:rPr>
              <w:t>Cut-off date</w:t>
            </w:r>
          </w:p>
        </w:tc>
        <w:tc>
          <w:tcPr>
            <w:tcW w:w="2349" w:type="dxa"/>
            <w:shd w:val="clear" w:color="auto" w:fill="C6D9F1" w:themeFill="text2" w:themeFillTint="33"/>
          </w:tcPr>
          <w:p w14:paraId="405A95A0" w14:textId="35F6B98D" w:rsidR="0061260D" w:rsidRPr="006424BC" w:rsidRDefault="0061260D" w:rsidP="006424B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  <w:bdr w:val="none" w:sz="0" w:space="0" w:color="auto" w:frame="1"/>
              </w:rPr>
            </w:pPr>
            <w:r w:rsidRPr="006424BC">
              <w:rPr>
                <w:color w:val="000000"/>
                <w:szCs w:val="20"/>
                <w:bdr w:val="none" w:sz="0" w:space="0" w:color="auto" w:frame="1"/>
              </w:rPr>
              <w:t>Number of selected projects</w:t>
            </w:r>
          </w:p>
        </w:tc>
        <w:tc>
          <w:tcPr>
            <w:tcW w:w="2593" w:type="dxa"/>
            <w:shd w:val="clear" w:color="auto" w:fill="C6D9F1" w:themeFill="text2" w:themeFillTint="33"/>
          </w:tcPr>
          <w:p w14:paraId="6E2AE7B3" w14:textId="7E59C987" w:rsidR="0061260D" w:rsidRPr="006424BC" w:rsidRDefault="0061260D" w:rsidP="006424B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  <w:bdr w:val="none" w:sz="0" w:space="0" w:color="auto" w:frame="1"/>
              </w:rPr>
            </w:pPr>
            <w:r w:rsidRPr="006424BC">
              <w:rPr>
                <w:color w:val="000000"/>
                <w:szCs w:val="20"/>
                <w:bdr w:val="none" w:sz="0" w:space="0" w:color="auto" w:frame="1"/>
              </w:rPr>
              <w:t>Recommended funding, (EUR)</w:t>
            </w:r>
          </w:p>
        </w:tc>
      </w:tr>
      <w:tr w:rsidR="0061260D" w14:paraId="00C69955" w14:textId="77777777" w:rsidTr="0061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503073C" w14:textId="3CF87A86" w:rsidR="0061260D" w:rsidRPr="00F74ADE" w:rsidRDefault="0061260D" w:rsidP="00C279DD">
            <w:pPr>
              <w:spacing w:after="0"/>
              <w:rPr>
                <w:b w:val="0"/>
                <w:bCs w:val="0"/>
                <w:color w:val="000000"/>
                <w:szCs w:val="20"/>
                <w:bdr w:val="none" w:sz="0" w:space="0" w:color="auto" w:frame="1"/>
              </w:rPr>
            </w:pPr>
            <w:r w:rsidRPr="00F74ADE">
              <w:rPr>
                <w:b w:val="0"/>
                <w:bCs w:val="0"/>
                <w:color w:val="000000"/>
                <w:szCs w:val="20"/>
                <w:bdr w:val="none" w:sz="0" w:space="0" w:color="auto" w:frame="1"/>
              </w:rPr>
              <w:t>AFIF cut-off 1</w:t>
            </w:r>
          </w:p>
        </w:tc>
        <w:tc>
          <w:tcPr>
            <w:tcW w:w="2394" w:type="dxa"/>
          </w:tcPr>
          <w:p w14:paraId="43CC7D87" w14:textId="65D024AE" w:rsidR="0061260D" w:rsidRPr="00F74ADE" w:rsidRDefault="0061260D" w:rsidP="00F74A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Cs w:val="20"/>
                <w:bdr w:val="none" w:sz="0" w:space="0" w:color="auto" w:frame="1"/>
              </w:rPr>
            </w:pPr>
            <w:r>
              <w:rPr>
                <w:bCs/>
                <w:color w:val="000000"/>
                <w:szCs w:val="20"/>
                <w:bdr w:val="none" w:sz="0" w:space="0" w:color="auto" w:frame="1"/>
              </w:rPr>
              <w:t>19 January 2022</w:t>
            </w:r>
          </w:p>
        </w:tc>
        <w:tc>
          <w:tcPr>
            <w:tcW w:w="2349" w:type="dxa"/>
          </w:tcPr>
          <w:p w14:paraId="4039687B" w14:textId="0D20F10F" w:rsidR="0061260D" w:rsidRPr="00F74ADE" w:rsidRDefault="0061260D" w:rsidP="00F74A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Cs w:val="20"/>
                <w:bdr w:val="none" w:sz="0" w:space="0" w:color="auto" w:frame="1"/>
              </w:rPr>
            </w:pPr>
            <w:r w:rsidRPr="00F74ADE">
              <w:rPr>
                <w:bCs/>
                <w:color w:val="00000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593" w:type="dxa"/>
          </w:tcPr>
          <w:p w14:paraId="756A0ECC" w14:textId="6A1CB8FA" w:rsidR="0061260D" w:rsidRPr="00F74ADE" w:rsidRDefault="0061260D" w:rsidP="00C914E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Cs w:val="20"/>
                <w:bdr w:val="none" w:sz="0" w:space="0" w:color="auto" w:frame="1"/>
              </w:rPr>
            </w:pPr>
            <w:r>
              <w:rPr>
                <w:bCs/>
                <w:color w:val="000000"/>
                <w:szCs w:val="20"/>
                <w:bdr w:val="none" w:sz="0" w:space="0" w:color="auto" w:frame="1"/>
              </w:rPr>
              <w:t>86,498,692</w:t>
            </w:r>
          </w:p>
        </w:tc>
      </w:tr>
      <w:tr w:rsidR="0061260D" w14:paraId="3997C2A1" w14:textId="77777777" w:rsidTr="0061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DF4F0AC" w14:textId="4C5CA07F" w:rsidR="0061260D" w:rsidRPr="00F74ADE" w:rsidRDefault="0061260D" w:rsidP="00C279DD">
            <w:pPr>
              <w:spacing w:after="0"/>
              <w:rPr>
                <w:b w:val="0"/>
                <w:bCs w:val="0"/>
                <w:color w:val="000000"/>
                <w:szCs w:val="20"/>
                <w:bdr w:val="none" w:sz="0" w:space="0" w:color="auto" w:frame="1"/>
              </w:rPr>
            </w:pPr>
            <w:r w:rsidRPr="00F74ADE">
              <w:rPr>
                <w:b w:val="0"/>
                <w:bCs w:val="0"/>
                <w:color w:val="000000"/>
                <w:szCs w:val="20"/>
                <w:bdr w:val="none" w:sz="0" w:space="0" w:color="auto" w:frame="1"/>
              </w:rPr>
              <w:t>AFIF cut-off 2</w:t>
            </w:r>
          </w:p>
        </w:tc>
        <w:tc>
          <w:tcPr>
            <w:tcW w:w="2394" w:type="dxa"/>
          </w:tcPr>
          <w:p w14:paraId="55DCBA74" w14:textId="062B70BF" w:rsidR="0061260D" w:rsidRPr="00F74ADE" w:rsidRDefault="0061260D" w:rsidP="00F74A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Cs w:val="20"/>
                <w:bdr w:val="none" w:sz="0" w:space="0" w:color="auto" w:frame="1"/>
              </w:rPr>
            </w:pPr>
            <w:r>
              <w:rPr>
                <w:bCs/>
                <w:color w:val="000000"/>
                <w:szCs w:val="20"/>
                <w:bdr w:val="none" w:sz="0" w:space="0" w:color="auto" w:frame="1"/>
              </w:rPr>
              <w:t>7 June 2022</w:t>
            </w:r>
          </w:p>
        </w:tc>
        <w:tc>
          <w:tcPr>
            <w:tcW w:w="2349" w:type="dxa"/>
          </w:tcPr>
          <w:p w14:paraId="18C1E96E" w14:textId="16F87CE9" w:rsidR="0061260D" w:rsidRPr="00F74ADE" w:rsidRDefault="0061260D" w:rsidP="00F74A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Cs w:val="20"/>
                <w:bdr w:val="none" w:sz="0" w:space="0" w:color="auto" w:frame="1"/>
              </w:rPr>
            </w:pPr>
            <w:r w:rsidRPr="00F74ADE">
              <w:rPr>
                <w:bCs/>
                <w:color w:val="00000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2593" w:type="dxa"/>
          </w:tcPr>
          <w:p w14:paraId="6224D1F6" w14:textId="56EBE797" w:rsidR="0061260D" w:rsidRPr="00F74ADE" w:rsidRDefault="0061260D" w:rsidP="00C914E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Cs w:val="20"/>
                <w:bdr w:val="none" w:sz="0" w:space="0" w:color="auto" w:frame="1"/>
              </w:rPr>
            </w:pPr>
            <w:r>
              <w:rPr>
                <w:bCs/>
                <w:color w:val="000000"/>
                <w:szCs w:val="20"/>
                <w:bdr w:val="none" w:sz="0" w:space="0" w:color="auto" w:frame="1"/>
              </w:rPr>
              <w:t>292,532,177</w:t>
            </w:r>
          </w:p>
        </w:tc>
      </w:tr>
      <w:tr w:rsidR="0061260D" w14:paraId="27F1E717" w14:textId="77777777" w:rsidTr="0061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C25713A" w14:textId="775324E1" w:rsidR="0061260D" w:rsidRPr="00F74ADE" w:rsidRDefault="0061260D" w:rsidP="00C279DD">
            <w:pPr>
              <w:spacing w:after="0"/>
              <w:rPr>
                <w:color w:val="000000"/>
                <w:szCs w:val="20"/>
                <w:bdr w:val="none" w:sz="0" w:space="0" w:color="auto" w:frame="1"/>
              </w:rPr>
            </w:pPr>
            <w:r>
              <w:rPr>
                <w:b w:val="0"/>
                <w:bCs w:val="0"/>
                <w:color w:val="000000"/>
                <w:szCs w:val="20"/>
                <w:bdr w:val="none" w:sz="0" w:space="0" w:color="auto" w:frame="1"/>
              </w:rPr>
              <w:t>AFIF cut-off 3</w:t>
            </w:r>
          </w:p>
        </w:tc>
        <w:tc>
          <w:tcPr>
            <w:tcW w:w="2394" w:type="dxa"/>
          </w:tcPr>
          <w:p w14:paraId="19C62E62" w14:textId="5FB39D8E" w:rsidR="0061260D" w:rsidRDefault="0061260D" w:rsidP="00F74A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Cs w:val="20"/>
                <w:bdr w:val="none" w:sz="0" w:space="0" w:color="auto" w:frame="1"/>
              </w:rPr>
            </w:pPr>
            <w:r>
              <w:rPr>
                <w:bCs/>
                <w:color w:val="000000"/>
                <w:szCs w:val="20"/>
                <w:bdr w:val="none" w:sz="0" w:space="0" w:color="auto" w:frame="1"/>
              </w:rPr>
              <w:t>10 November 2022</w:t>
            </w:r>
          </w:p>
        </w:tc>
        <w:tc>
          <w:tcPr>
            <w:tcW w:w="2349" w:type="dxa"/>
          </w:tcPr>
          <w:p w14:paraId="13756B2E" w14:textId="0FE9DCBE" w:rsidR="0061260D" w:rsidRPr="00F74ADE" w:rsidRDefault="0061260D" w:rsidP="00F74A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Cs w:val="20"/>
                <w:bdr w:val="none" w:sz="0" w:space="0" w:color="auto" w:frame="1"/>
              </w:rPr>
            </w:pPr>
            <w:r>
              <w:rPr>
                <w:bCs/>
                <w:color w:val="000000"/>
                <w:szCs w:val="20"/>
                <w:bdr w:val="none" w:sz="0" w:space="0" w:color="auto" w:frame="1"/>
              </w:rPr>
              <w:t>26</w:t>
            </w:r>
          </w:p>
        </w:tc>
        <w:tc>
          <w:tcPr>
            <w:tcW w:w="2593" w:type="dxa"/>
          </w:tcPr>
          <w:p w14:paraId="1A9D8487" w14:textId="0738E7E0" w:rsidR="0061260D" w:rsidRPr="00F74ADE" w:rsidRDefault="0061260D" w:rsidP="00C914E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Cs w:val="20"/>
                <w:bdr w:val="none" w:sz="0" w:space="0" w:color="auto" w:frame="1"/>
              </w:rPr>
            </w:pPr>
            <w:r>
              <w:rPr>
                <w:bCs/>
                <w:color w:val="000000"/>
                <w:szCs w:val="20"/>
                <w:bdr w:val="none" w:sz="0" w:space="0" w:color="auto" w:frame="1"/>
              </w:rPr>
              <w:t>188,829,989</w:t>
            </w:r>
          </w:p>
        </w:tc>
      </w:tr>
      <w:tr w:rsidR="0061260D" w14:paraId="1E3B4EB1" w14:textId="77777777" w:rsidTr="0061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99DDB74" w14:textId="3FB61727" w:rsidR="0061260D" w:rsidRDefault="0061260D" w:rsidP="00C279DD">
            <w:pPr>
              <w:spacing w:after="0"/>
              <w:rPr>
                <w:color w:val="000000"/>
                <w:szCs w:val="20"/>
                <w:bdr w:val="none" w:sz="0" w:space="0" w:color="auto" w:frame="1"/>
              </w:rPr>
            </w:pPr>
            <w:r>
              <w:rPr>
                <w:b w:val="0"/>
                <w:bCs w:val="0"/>
                <w:color w:val="000000"/>
                <w:szCs w:val="20"/>
                <w:bdr w:val="none" w:sz="0" w:space="0" w:color="auto" w:frame="1"/>
              </w:rPr>
              <w:t>AFIF cut-off 4</w:t>
            </w:r>
          </w:p>
        </w:tc>
        <w:tc>
          <w:tcPr>
            <w:tcW w:w="2394" w:type="dxa"/>
          </w:tcPr>
          <w:p w14:paraId="62451172" w14:textId="3BDB9D4C" w:rsidR="0061260D" w:rsidRDefault="0061260D" w:rsidP="00F74A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Cs w:val="20"/>
                <w:bdr w:val="none" w:sz="0" w:space="0" w:color="auto" w:frame="1"/>
              </w:rPr>
            </w:pPr>
            <w:r>
              <w:rPr>
                <w:bCs/>
                <w:color w:val="000000"/>
                <w:szCs w:val="20"/>
                <w:bdr w:val="none" w:sz="0" w:space="0" w:color="auto" w:frame="1"/>
              </w:rPr>
              <w:t>13 April 2023</w:t>
            </w:r>
          </w:p>
        </w:tc>
        <w:tc>
          <w:tcPr>
            <w:tcW w:w="2349" w:type="dxa"/>
          </w:tcPr>
          <w:p w14:paraId="17F8D77F" w14:textId="62EE1268" w:rsidR="0061260D" w:rsidRDefault="0061260D" w:rsidP="00F74A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Cs w:val="20"/>
                <w:bdr w:val="none" w:sz="0" w:space="0" w:color="auto" w:frame="1"/>
              </w:rPr>
            </w:pPr>
            <w:r>
              <w:rPr>
                <w:bCs/>
                <w:color w:val="000000"/>
                <w:szCs w:val="20"/>
                <w:bdr w:val="none" w:sz="0" w:space="0" w:color="auto" w:frame="1"/>
              </w:rPr>
              <w:t>26</w:t>
            </w:r>
          </w:p>
        </w:tc>
        <w:tc>
          <w:tcPr>
            <w:tcW w:w="2593" w:type="dxa"/>
          </w:tcPr>
          <w:p w14:paraId="406FDB42" w14:textId="10DB8D4D" w:rsidR="0061260D" w:rsidRDefault="0061260D" w:rsidP="00C914E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Cs w:val="20"/>
                <w:bdr w:val="none" w:sz="0" w:space="0" w:color="auto" w:frame="1"/>
              </w:rPr>
            </w:pPr>
            <w:r>
              <w:rPr>
                <w:bCs/>
                <w:color w:val="000000"/>
                <w:szCs w:val="20"/>
                <w:bdr w:val="none" w:sz="0" w:space="0" w:color="auto" w:frame="1"/>
              </w:rPr>
              <w:t>352,060,575</w:t>
            </w:r>
          </w:p>
        </w:tc>
      </w:tr>
      <w:tr w:rsidR="00697B89" w:rsidRPr="00703697" w14:paraId="29163DB8" w14:textId="77777777" w:rsidTr="0061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88FAAEB" w14:textId="00E438FE" w:rsidR="00697B89" w:rsidRPr="00703697" w:rsidRDefault="00697B89" w:rsidP="00C279DD">
            <w:pPr>
              <w:spacing w:after="0"/>
              <w:rPr>
                <w:color w:val="000000"/>
                <w:szCs w:val="20"/>
                <w:bdr w:val="none" w:sz="0" w:space="0" w:color="auto" w:frame="1"/>
              </w:rPr>
            </w:pPr>
            <w:r>
              <w:rPr>
                <w:b w:val="0"/>
                <w:bCs w:val="0"/>
                <w:color w:val="000000"/>
                <w:szCs w:val="20"/>
                <w:bdr w:val="none" w:sz="0" w:space="0" w:color="auto" w:frame="1"/>
              </w:rPr>
              <w:t>AFIF cut-off 5</w:t>
            </w:r>
          </w:p>
        </w:tc>
        <w:tc>
          <w:tcPr>
            <w:tcW w:w="2394" w:type="dxa"/>
          </w:tcPr>
          <w:p w14:paraId="0A9C9EC4" w14:textId="63BB059D" w:rsidR="00697B89" w:rsidRPr="00697B89" w:rsidRDefault="00697B89" w:rsidP="00F74A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  <w:bdr w:val="none" w:sz="0" w:space="0" w:color="auto" w:frame="1"/>
              </w:rPr>
            </w:pPr>
            <w:r w:rsidRPr="00697B89">
              <w:rPr>
                <w:color w:val="000000"/>
                <w:szCs w:val="20"/>
                <w:bdr w:val="none" w:sz="0" w:space="0" w:color="auto" w:frame="1"/>
              </w:rPr>
              <w:t>7 November 2023</w:t>
            </w:r>
          </w:p>
        </w:tc>
        <w:tc>
          <w:tcPr>
            <w:tcW w:w="2349" w:type="dxa"/>
          </w:tcPr>
          <w:p w14:paraId="35836AD1" w14:textId="7BDC3122" w:rsidR="00697B89" w:rsidRPr="00697B89" w:rsidRDefault="00697B89" w:rsidP="00F74A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  <w:bdr w:val="none" w:sz="0" w:space="0" w:color="auto" w:frame="1"/>
              </w:rPr>
            </w:pPr>
            <w:r w:rsidRPr="00697B89">
              <w:rPr>
                <w:color w:val="000000"/>
                <w:szCs w:val="20"/>
                <w:bdr w:val="none" w:sz="0" w:space="0" w:color="auto" w:frame="1"/>
              </w:rPr>
              <w:t>42</w:t>
            </w:r>
          </w:p>
        </w:tc>
        <w:tc>
          <w:tcPr>
            <w:tcW w:w="2593" w:type="dxa"/>
          </w:tcPr>
          <w:p w14:paraId="0DA5B4D0" w14:textId="79F16BBC" w:rsidR="00697B89" w:rsidRDefault="0059776A" w:rsidP="00C914E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0"/>
                <w:bdr w:val="none" w:sz="0" w:space="0" w:color="auto" w:frame="1"/>
              </w:rPr>
            </w:pPr>
            <w:r>
              <w:rPr>
                <w:bCs/>
                <w:color w:val="000000"/>
                <w:szCs w:val="20"/>
                <w:bdr w:val="none" w:sz="0" w:space="0" w:color="auto" w:frame="1"/>
              </w:rPr>
              <w:t>424,636,307</w:t>
            </w:r>
          </w:p>
        </w:tc>
      </w:tr>
      <w:tr w:rsidR="0061260D" w:rsidRPr="00703697" w14:paraId="1A2F2F3A" w14:textId="77777777" w:rsidTr="0061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6914F39" w14:textId="4062B6A2" w:rsidR="0061260D" w:rsidRPr="00703697" w:rsidRDefault="0061260D" w:rsidP="00C279DD">
            <w:pPr>
              <w:spacing w:after="0"/>
              <w:rPr>
                <w:bCs w:val="0"/>
                <w:color w:val="000000"/>
                <w:szCs w:val="20"/>
                <w:bdr w:val="none" w:sz="0" w:space="0" w:color="auto" w:frame="1"/>
              </w:rPr>
            </w:pPr>
            <w:r w:rsidRPr="00703697">
              <w:rPr>
                <w:bCs w:val="0"/>
                <w:color w:val="000000"/>
                <w:szCs w:val="20"/>
                <w:bdr w:val="none" w:sz="0" w:space="0" w:color="auto" w:frame="1"/>
              </w:rPr>
              <w:t>TOTAL</w:t>
            </w:r>
          </w:p>
        </w:tc>
        <w:tc>
          <w:tcPr>
            <w:tcW w:w="2394" w:type="dxa"/>
          </w:tcPr>
          <w:p w14:paraId="3E5F76F2" w14:textId="77777777" w:rsidR="0061260D" w:rsidRDefault="0061260D" w:rsidP="00F74A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0"/>
                <w:bdr w:val="none" w:sz="0" w:space="0" w:color="auto" w:frame="1"/>
              </w:rPr>
            </w:pPr>
          </w:p>
        </w:tc>
        <w:tc>
          <w:tcPr>
            <w:tcW w:w="2349" w:type="dxa"/>
          </w:tcPr>
          <w:p w14:paraId="7F990A48" w14:textId="124A9AB4" w:rsidR="0061260D" w:rsidRPr="00697B89" w:rsidRDefault="0061260D" w:rsidP="00F74A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0"/>
                <w:highlight w:val="yellow"/>
                <w:bdr w:val="none" w:sz="0" w:space="0" w:color="auto" w:frame="1"/>
              </w:rPr>
            </w:pPr>
            <w:r w:rsidRPr="0059776A">
              <w:rPr>
                <w:b/>
                <w:bCs/>
                <w:color w:val="000000"/>
                <w:szCs w:val="20"/>
                <w:bdr w:val="none" w:sz="0" w:space="0" w:color="auto" w:frame="1"/>
              </w:rPr>
              <w:t>1</w:t>
            </w:r>
            <w:r w:rsidR="00697B89" w:rsidRPr="0059776A">
              <w:rPr>
                <w:b/>
                <w:bCs/>
                <w:color w:val="000000"/>
                <w:szCs w:val="20"/>
                <w:bdr w:val="none" w:sz="0" w:space="0" w:color="auto" w:frame="1"/>
              </w:rPr>
              <w:t>33</w:t>
            </w:r>
          </w:p>
        </w:tc>
        <w:tc>
          <w:tcPr>
            <w:tcW w:w="2593" w:type="dxa"/>
          </w:tcPr>
          <w:p w14:paraId="2D2C5E6C" w14:textId="24D966ED" w:rsidR="0061260D" w:rsidRPr="00697B89" w:rsidRDefault="0059776A" w:rsidP="00C914E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0"/>
                <w:highlight w:val="yellow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Cs w:val="20"/>
                <w:bdr w:val="none" w:sz="0" w:space="0" w:color="auto" w:frame="1"/>
              </w:rPr>
              <w:t>1,344,557,740</w:t>
            </w:r>
          </w:p>
        </w:tc>
      </w:tr>
    </w:tbl>
    <w:p w14:paraId="739720AB" w14:textId="5FF4BD9B" w:rsidR="00C85824" w:rsidRPr="00243F23" w:rsidRDefault="00C85824" w:rsidP="00C279DD">
      <w:pPr>
        <w:shd w:val="clear" w:color="auto" w:fill="FFFFFF"/>
        <w:spacing w:after="0"/>
        <w:rPr>
          <w:b/>
          <w:bCs/>
          <w:color w:val="000000"/>
          <w:szCs w:val="20"/>
          <w:highlight w:val="yellow"/>
          <w:bdr w:val="none" w:sz="0" w:space="0" w:color="auto" w:frame="1"/>
        </w:rPr>
      </w:pPr>
    </w:p>
    <w:p w14:paraId="20259B71" w14:textId="77777777" w:rsidR="00091568" w:rsidRDefault="00091568" w:rsidP="00C279DD">
      <w:pPr>
        <w:shd w:val="clear" w:color="auto" w:fill="FFFFFF"/>
        <w:spacing w:after="0"/>
        <w:rPr>
          <w:b/>
          <w:bCs/>
          <w:color w:val="000000"/>
          <w:szCs w:val="20"/>
          <w:bdr w:val="none" w:sz="0" w:space="0" w:color="auto" w:frame="1"/>
        </w:rPr>
      </w:pPr>
    </w:p>
    <w:p w14:paraId="07CD2DBF" w14:textId="4134C2E5" w:rsidR="00C279DD" w:rsidRPr="009524B9" w:rsidRDefault="00C279DD" w:rsidP="00C279DD">
      <w:pPr>
        <w:shd w:val="clear" w:color="auto" w:fill="FFFFFF"/>
        <w:spacing w:after="0"/>
        <w:rPr>
          <w:color w:val="000000"/>
          <w:szCs w:val="20"/>
        </w:rPr>
      </w:pPr>
      <w:r w:rsidRPr="009524B9">
        <w:rPr>
          <w:b/>
          <w:bCs/>
          <w:color w:val="000000"/>
          <w:szCs w:val="20"/>
          <w:bdr w:val="none" w:sz="0" w:space="0" w:color="auto" w:frame="1"/>
        </w:rPr>
        <w:t>How will the projects be managed?</w:t>
      </w:r>
    </w:p>
    <w:p w14:paraId="6560A1F8" w14:textId="3EE9A28D" w:rsidR="00B25795" w:rsidRDefault="00C279DD" w:rsidP="00C279DD">
      <w:pPr>
        <w:shd w:val="clear" w:color="auto" w:fill="FFFFFF"/>
        <w:spacing w:before="60" w:after="60"/>
        <w:rPr>
          <w:color w:val="000000"/>
          <w:szCs w:val="20"/>
        </w:rPr>
      </w:pPr>
      <w:r w:rsidRPr="00243F23">
        <w:rPr>
          <w:color w:val="000000"/>
          <w:szCs w:val="20"/>
        </w:rPr>
        <w:t xml:space="preserve">The CEF Programme is managed centrally by the European Commission, which sets the political priorities and is responsible for the selection of projects through competitive calls for proposals. </w:t>
      </w:r>
    </w:p>
    <w:p w14:paraId="240DD6A3" w14:textId="77777777" w:rsidR="0047605C" w:rsidRDefault="0047605C" w:rsidP="00C279DD">
      <w:pPr>
        <w:shd w:val="clear" w:color="auto" w:fill="FFFFFF"/>
        <w:spacing w:before="60" w:after="60"/>
        <w:rPr>
          <w:color w:val="000000"/>
          <w:szCs w:val="20"/>
        </w:rPr>
      </w:pPr>
    </w:p>
    <w:p w14:paraId="4732A007" w14:textId="77777777" w:rsidR="00C279DD" w:rsidRDefault="00C279DD" w:rsidP="00C279DD">
      <w:pPr>
        <w:shd w:val="clear" w:color="auto" w:fill="FFFFFF"/>
        <w:spacing w:before="60" w:after="60"/>
        <w:rPr>
          <w:color w:val="000000"/>
          <w:szCs w:val="20"/>
        </w:rPr>
      </w:pPr>
      <w:r w:rsidRPr="00243F23">
        <w:rPr>
          <w:color w:val="000000"/>
          <w:szCs w:val="20"/>
        </w:rPr>
        <w:t xml:space="preserve">The Commission is assisted by </w:t>
      </w:r>
      <w:r w:rsidR="00F832A6">
        <w:rPr>
          <w:color w:val="000000"/>
          <w:szCs w:val="20"/>
        </w:rPr>
        <w:t>C</w:t>
      </w:r>
      <w:r w:rsidRPr="00243F23">
        <w:rPr>
          <w:color w:val="000000"/>
          <w:szCs w:val="20"/>
        </w:rPr>
        <w:t xml:space="preserve">INEA for the evaluation and selection of projects and for the overall technical and financial monitoring of project implementation. </w:t>
      </w:r>
    </w:p>
    <w:p w14:paraId="2722E427" w14:textId="37E571DA" w:rsidR="00B26114" w:rsidRDefault="00C279DD" w:rsidP="00B26114">
      <w:pPr>
        <w:shd w:val="clear" w:color="auto" w:fill="FFFFFF"/>
        <w:spacing w:before="60" w:after="60"/>
        <w:rPr>
          <w:color w:val="000000"/>
          <w:szCs w:val="20"/>
        </w:rPr>
      </w:pPr>
      <w:r w:rsidRPr="00243F23">
        <w:rPr>
          <w:color w:val="000000"/>
          <w:szCs w:val="20"/>
        </w:rPr>
        <w:t>Beneficiaries in the Me</w:t>
      </w:r>
      <w:r w:rsidR="00135252">
        <w:rPr>
          <w:color w:val="000000"/>
          <w:szCs w:val="20"/>
        </w:rPr>
        <w:t>mber States manage the projects.</w:t>
      </w:r>
      <w:r w:rsidRPr="00243F23">
        <w:rPr>
          <w:color w:val="000000"/>
          <w:szCs w:val="20"/>
        </w:rPr>
        <w:t xml:space="preserve"> </w:t>
      </w:r>
    </w:p>
    <w:p w14:paraId="784D9A0C" w14:textId="77777777" w:rsidR="0047605C" w:rsidRDefault="0047605C" w:rsidP="00B26114">
      <w:pPr>
        <w:shd w:val="clear" w:color="auto" w:fill="FFFFFF"/>
        <w:spacing w:before="60" w:after="60"/>
        <w:rPr>
          <w:color w:val="000000"/>
          <w:szCs w:val="20"/>
        </w:rPr>
      </w:pPr>
    </w:p>
    <w:p w14:paraId="4E8CDCF4" w14:textId="77777777" w:rsidR="008166C8" w:rsidRPr="00243F23" w:rsidRDefault="008166C8" w:rsidP="00B26114">
      <w:pPr>
        <w:shd w:val="clear" w:color="auto" w:fill="FFFFFF"/>
        <w:spacing w:before="60" w:after="60"/>
        <w:rPr>
          <w:color w:val="000000"/>
          <w:szCs w:val="20"/>
        </w:rPr>
      </w:pPr>
      <w:r w:rsidRPr="00243F23">
        <w:rPr>
          <w:color w:val="000000"/>
          <w:szCs w:val="20"/>
        </w:rPr>
        <w:t xml:space="preserve">All projects co-funded by the CEF programme are available on </w:t>
      </w:r>
      <w:hyperlink r:id="rId16" w:history="1">
        <w:r w:rsidR="00F832A6" w:rsidRPr="00F832A6">
          <w:rPr>
            <w:rStyle w:val="Hyperlink"/>
            <w:szCs w:val="20"/>
          </w:rPr>
          <w:t>C</w:t>
        </w:r>
        <w:r w:rsidRPr="00F832A6">
          <w:rPr>
            <w:rStyle w:val="Hyperlink"/>
            <w:szCs w:val="20"/>
          </w:rPr>
          <w:t>INEA</w:t>
        </w:r>
        <w:r w:rsidR="00F832A6" w:rsidRPr="00F832A6">
          <w:rPr>
            <w:rStyle w:val="Hyperlink"/>
            <w:szCs w:val="20"/>
          </w:rPr>
          <w:t>’s</w:t>
        </w:r>
        <w:r w:rsidRPr="00F832A6">
          <w:rPr>
            <w:rStyle w:val="Hyperlink"/>
            <w:szCs w:val="20"/>
          </w:rPr>
          <w:t xml:space="preserve"> website</w:t>
        </w:r>
      </w:hyperlink>
      <w:r w:rsidRPr="00243F23">
        <w:rPr>
          <w:color w:val="000000"/>
          <w:szCs w:val="20"/>
        </w:rPr>
        <w:t>.</w:t>
      </w:r>
    </w:p>
    <w:sectPr w:rsidR="008166C8" w:rsidRPr="00243F23" w:rsidSect="00091568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418" w:right="1418" w:bottom="1134" w:left="1418" w:header="567" w:footer="45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737F" w14:textId="77777777" w:rsidR="00F346EB" w:rsidRDefault="00F346EB">
      <w:r>
        <w:separator/>
      </w:r>
    </w:p>
  </w:endnote>
  <w:endnote w:type="continuationSeparator" w:id="0">
    <w:p w14:paraId="7599B1CC" w14:textId="77777777" w:rsidR="00F346EB" w:rsidRDefault="00F3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1872" w14:textId="41EECE93" w:rsidR="00D80D72" w:rsidRDefault="00D80D72" w:rsidP="00D80D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B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E69365" w14:textId="77777777" w:rsidR="00D80D72" w:rsidRDefault="00D80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962E" w14:textId="77777777" w:rsidR="00E14158" w:rsidRPr="00F774BE" w:rsidRDefault="00FB5082" w:rsidP="00FB5082">
    <w:pPr>
      <w:pStyle w:val="1NNote"/>
    </w:pPr>
    <w:r>
      <w:t>MEMO/1</w:t>
    </w:r>
    <w:r w:rsidR="008B7A23">
      <w:t>8</w:t>
    </w:r>
    <w:r>
      <w:t>/</w:t>
    </w:r>
    <w:r w:rsidR="0092051D">
      <w:rPr>
        <w:noProof/>
      </w:rPr>
      <w:drawing>
        <wp:anchor distT="0" distB="0" distL="114300" distR="114300" simplePos="0" relativeHeight="251658240" behindDoc="1" locked="0" layoutInCell="0" allowOverlap="1" wp14:anchorId="13CE5AAC" wp14:editId="6E792224">
          <wp:simplePos x="0" y="0"/>
          <wp:positionH relativeFrom="column">
            <wp:align>center</wp:align>
          </wp:positionH>
          <wp:positionV relativeFrom="page">
            <wp:posOffset>10009505</wp:posOffset>
          </wp:positionV>
          <wp:extent cx="828675" cy="548005"/>
          <wp:effectExtent l="0" t="0" r="9525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4288" w14:textId="77777777" w:rsidR="00F346EB" w:rsidRDefault="00F346EB">
      <w:r>
        <w:separator/>
      </w:r>
    </w:p>
  </w:footnote>
  <w:footnote w:type="continuationSeparator" w:id="0">
    <w:p w14:paraId="75384BA1" w14:textId="77777777" w:rsidR="00F346EB" w:rsidRDefault="00F3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C734" w14:textId="77777777" w:rsidR="00E14158" w:rsidRDefault="00E14158" w:rsidP="00B10C4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3EF6" w14:textId="77777777" w:rsidR="00E14158" w:rsidRDefault="0092051D" w:rsidP="00B10C44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0" allowOverlap="1" wp14:anchorId="11BCAC09" wp14:editId="0E209A5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952625" cy="971550"/>
          <wp:effectExtent l="0" t="0" r="9525" b="0"/>
          <wp:wrapSquare wrapText="bothSides"/>
          <wp:docPr id="10" name="Picture 10" descr="LOGO CE_Muet_quadri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E_Muet_quadri_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02202" w14:textId="77777777" w:rsidR="00E14158" w:rsidRDefault="00E141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1E9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45E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08C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6F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164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DA30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E46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82B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904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ACD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17337"/>
    <w:multiLevelType w:val="multilevel"/>
    <w:tmpl w:val="B15E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1D041C"/>
    <w:multiLevelType w:val="hybridMultilevel"/>
    <w:tmpl w:val="95C07E00"/>
    <w:lvl w:ilvl="0" w:tplc="B8B21A10">
      <w:start w:val="1"/>
      <w:numFmt w:val="bullet"/>
      <w:pStyle w:val="Tir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96626"/>
    <w:multiLevelType w:val="hybridMultilevel"/>
    <w:tmpl w:val="167E1E8A"/>
    <w:lvl w:ilvl="0" w:tplc="1F961EDC">
      <w:start w:val="1"/>
      <w:numFmt w:val="bullet"/>
      <w:pStyle w:val="Briefinglist1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9320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7963FF"/>
    <w:multiLevelType w:val="multilevel"/>
    <w:tmpl w:val="F42A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877E22"/>
    <w:multiLevelType w:val="hybridMultilevel"/>
    <w:tmpl w:val="845E6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55915"/>
    <w:multiLevelType w:val="hybridMultilevel"/>
    <w:tmpl w:val="C54C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41D1A"/>
    <w:multiLevelType w:val="hybridMultilevel"/>
    <w:tmpl w:val="2C9E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F466C"/>
    <w:multiLevelType w:val="hybridMultilevel"/>
    <w:tmpl w:val="AF38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770AF"/>
    <w:multiLevelType w:val="hybridMultilevel"/>
    <w:tmpl w:val="78D64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341D3"/>
    <w:multiLevelType w:val="hybridMultilevel"/>
    <w:tmpl w:val="D838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E623A"/>
    <w:multiLevelType w:val="hybridMultilevel"/>
    <w:tmpl w:val="52BED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6067C"/>
    <w:multiLevelType w:val="hybridMultilevel"/>
    <w:tmpl w:val="0C0EC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B08BD"/>
    <w:multiLevelType w:val="hybridMultilevel"/>
    <w:tmpl w:val="E6AA8DEA"/>
    <w:lvl w:ilvl="0" w:tplc="1F24F9C6">
      <w:start w:val="1"/>
      <w:numFmt w:val="bullet"/>
      <w:pStyle w:val="Tiret3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0D2DFC"/>
    <w:multiLevelType w:val="hybridMultilevel"/>
    <w:tmpl w:val="C7DA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D014F"/>
    <w:multiLevelType w:val="singleLevel"/>
    <w:tmpl w:val="03C2948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6" w15:restartNumberingAfterBreak="0">
    <w:nsid w:val="66075A4F"/>
    <w:multiLevelType w:val="hybridMultilevel"/>
    <w:tmpl w:val="A216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25D25"/>
    <w:multiLevelType w:val="hybridMultilevel"/>
    <w:tmpl w:val="CCD47524"/>
    <w:lvl w:ilvl="0" w:tplc="1CC4FAC4">
      <w:start w:val="1"/>
      <w:numFmt w:val="bullet"/>
      <w:pStyle w:val="Tiret2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CAA6C98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C54C745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30ABB1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CAC2E5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C2F4B45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BEDA2E8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CA2C947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7B0498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D092F94"/>
    <w:multiLevelType w:val="hybridMultilevel"/>
    <w:tmpl w:val="EFDEC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134B"/>
    <w:multiLevelType w:val="hybridMultilevel"/>
    <w:tmpl w:val="B0EA9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715467">
    <w:abstractNumId w:val="9"/>
  </w:num>
  <w:num w:numId="2" w16cid:durableId="1893730817">
    <w:abstractNumId w:val="7"/>
  </w:num>
  <w:num w:numId="3" w16cid:durableId="1598635637">
    <w:abstractNumId w:val="6"/>
  </w:num>
  <w:num w:numId="4" w16cid:durableId="697583744">
    <w:abstractNumId w:val="5"/>
  </w:num>
  <w:num w:numId="5" w16cid:durableId="484660335">
    <w:abstractNumId w:val="4"/>
  </w:num>
  <w:num w:numId="6" w16cid:durableId="1442337216">
    <w:abstractNumId w:val="8"/>
  </w:num>
  <w:num w:numId="7" w16cid:durableId="941038643">
    <w:abstractNumId w:val="3"/>
  </w:num>
  <w:num w:numId="8" w16cid:durableId="108740667">
    <w:abstractNumId w:val="2"/>
  </w:num>
  <w:num w:numId="9" w16cid:durableId="1134254710">
    <w:abstractNumId w:val="1"/>
  </w:num>
  <w:num w:numId="10" w16cid:durableId="1685549909">
    <w:abstractNumId w:val="0"/>
  </w:num>
  <w:num w:numId="11" w16cid:durableId="1310014012">
    <w:abstractNumId w:val="11"/>
  </w:num>
  <w:num w:numId="12" w16cid:durableId="1041133995">
    <w:abstractNumId w:val="27"/>
  </w:num>
  <w:num w:numId="13" w16cid:durableId="469397658">
    <w:abstractNumId w:val="23"/>
  </w:num>
  <w:num w:numId="14" w16cid:durableId="1250891020">
    <w:abstractNumId w:val="13"/>
  </w:num>
  <w:num w:numId="15" w16cid:durableId="1005942849">
    <w:abstractNumId w:val="25"/>
  </w:num>
  <w:num w:numId="16" w16cid:durableId="1125851890">
    <w:abstractNumId w:val="25"/>
  </w:num>
  <w:num w:numId="17" w16cid:durableId="957369856">
    <w:abstractNumId w:val="22"/>
  </w:num>
  <w:num w:numId="18" w16cid:durableId="1560706392">
    <w:abstractNumId w:val="14"/>
  </w:num>
  <w:num w:numId="19" w16cid:durableId="633147057">
    <w:abstractNumId w:val="15"/>
  </w:num>
  <w:num w:numId="20" w16cid:durableId="497815804">
    <w:abstractNumId w:val="16"/>
  </w:num>
  <w:num w:numId="21" w16cid:durableId="285240653">
    <w:abstractNumId w:val="12"/>
  </w:num>
  <w:num w:numId="22" w16cid:durableId="130636763">
    <w:abstractNumId w:val="24"/>
  </w:num>
  <w:num w:numId="23" w16cid:durableId="698314712">
    <w:abstractNumId w:val="18"/>
  </w:num>
  <w:num w:numId="24" w16cid:durableId="1965888822">
    <w:abstractNumId w:val="26"/>
  </w:num>
  <w:num w:numId="25" w16cid:durableId="1121461606">
    <w:abstractNumId w:val="19"/>
  </w:num>
  <w:num w:numId="26" w16cid:durableId="1848521320">
    <w:abstractNumId w:val="10"/>
  </w:num>
  <w:num w:numId="27" w16cid:durableId="1999923530">
    <w:abstractNumId w:val="17"/>
  </w:num>
  <w:num w:numId="28" w16cid:durableId="1088962246">
    <w:abstractNumId w:val="21"/>
  </w:num>
  <w:num w:numId="29" w16cid:durableId="1288321381">
    <w:abstractNumId w:val="20"/>
  </w:num>
  <w:num w:numId="30" w16cid:durableId="83958171">
    <w:abstractNumId w:val="28"/>
  </w:num>
  <w:num w:numId="31" w16cid:durableId="145486059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VI_MEMO"/>
  </w:docVars>
  <w:rsids>
    <w:rsidRoot w:val="00FB5082"/>
    <w:rsid w:val="00007975"/>
    <w:rsid w:val="00010C67"/>
    <w:rsid w:val="00013531"/>
    <w:rsid w:val="00017E39"/>
    <w:rsid w:val="000258E9"/>
    <w:rsid w:val="000262D2"/>
    <w:rsid w:val="00026E75"/>
    <w:rsid w:val="000325AE"/>
    <w:rsid w:val="000335B8"/>
    <w:rsid w:val="0005272A"/>
    <w:rsid w:val="00052FEA"/>
    <w:rsid w:val="00054168"/>
    <w:rsid w:val="0005553E"/>
    <w:rsid w:val="000608CC"/>
    <w:rsid w:val="00061CE9"/>
    <w:rsid w:val="00061DE4"/>
    <w:rsid w:val="00062607"/>
    <w:rsid w:val="00062E4D"/>
    <w:rsid w:val="00063036"/>
    <w:rsid w:val="000710F0"/>
    <w:rsid w:val="00071916"/>
    <w:rsid w:val="000729C2"/>
    <w:rsid w:val="00073F2A"/>
    <w:rsid w:val="00086B07"/>
    <w:rsid w:val="0008740C"/>
    <w:rsid w:val="00091568"/>
    <w:rsid w:val="0009269D"/>
    <w:rsid w:val="00094237"/>
    <w:rsid w:val="0009494E"/>
    <w:rsid w:val="0009568B"/>
    <w:rsid w:val="00096930"/>
    <w:rsid w:val="00097A76"/>
    <w:rsid w:val="000A1397"/>
    <w:rsid w:val="000A3E90"/>
    <w:rsid w:val="000A6C3C"/>
    <w:rsid w:val="000A782A"/>
    <w:rsid w:val="000B3BA6"/>
    <w:rsid w:val="000B4A8D"/>
    <w:rsid w:val="000C327C"/>
    <w:rsid w:val="000C6A65"/>
    <w:rsid w:val="000D0AC6"/>
    <w:rsid w:val="000D5ADF"/>
    <w:rsid w:val="000E1C7B"/>
    <w:rsid w:val="000E3555"/>
    <w:rsid w:val="000E6CAA"/>
    <w:rsid w:val="000E7849"/>
    <w:rsid w:val="000F0312"/>
    <w:rsid w:val="000F2828"/>
    <w:rsid w:val="000F67D9"/>
    <w:rsid w:val="00121A35"/>
    <w:rsid w:val="00126A3A"/>
    <w:rsid w:val="0013018F"/>
    <w:rsid w:val="00132D10"/>
    <w:rsid w:val="00135252"/>
    <w:rsid w:val="0014084C"/>
    <w:rsid w:val="001433AA"/>
    <w:rsid w:val="001462A6"/>
    <w:rsid w:val="00150823"/>
    <w:rsid w:val="0015088A"/>
    <w:rsid w:val="00154C58"/>
    <w:rsid w:val="0016103A"/>
    <w:rsid w:val="00161A8E"/>
    <w:rsid w:val="00163E3C"/>
    <w:rsid w:val="001723AB"/>
    <w:rsid w:val="001764DC"/>
    <w:rsid w:val="00176A58"/>
    <w:rsid w:val="00183FF7"/>
    <w:rsid w:val="001850EE"/>
    <w:rsid w:val="00185E3C"/>
    <w:rsid w:val="00186AFE"/>
    <w:rsid w:val="00187E1A"/>
    <w:rsid w:val="0019010F"/>
    <w:rsid w:val="001905D9"/>
    <w:rsid w:val="0019322A"/>
    <w:rsid w:val="001953C8"/>
    <w:rsid w:val="001A4C4A"/>
    <w:rsid w:val="001A53AC"/>
    <w:rsid w:val="001A56AC"/>
    <w:rsid w:val="001A719D"/>
    <w:rsid w:val="001A7A48"/>
    <w:rsid w:val="001B1A9C"/>
    <w:rsid w:val="001B2E89"/>
    <w:rsid w:val="001C0CF5"/>
    <w:rsid w:val="001C42D9"/>
    <w:rsid w:val="001C7D1A"/>
    <w:rsid w:val="001D3005"/>
    <w:rsid w:val="001D66A1"/>
    <w:rsid w:val="001E07D1"/>
    <w:rsid w:val="001E1C95"/>
    <w:rsid w:val="001E6C92"/>
    <w:rsid w:val="001E7F31"/>
    <w:rsid w:val="001F0F7B"/>
    <w:rsid w:val="001F4C2B"/>
    <w:rsid w:val="001F5F74"/>
    <w:rsid w:val="001F6D56"/>
    <w:rsid w:val="00200293"/>
    <w:rsid w:val="00203FE6"/>
    <w:rsid w:val="00213639"/>
    <w:rsid w:val="00213728"/>
    <w:rsid w:val="00214D2E"/>
    <w:rsid w:val="002158D9"/>
    <w:rsid w:val="00231CAC"/>
    <w:rsid w:val="00232917"/>
    <w:rsid w:val="00233876"/>
    <w:rsid w:val="0023756E"/>
    <w:rsid w:val="002405FD"/>
    <w:rsid w:val="00243F23"/>
    <w:rsid w:val="00245EB4"/>
    <w:rsid w:val="00251367"/>
    <w:rsid w:val="0025339D"/>
    <w:rsid w:val="00254B4C"/>
    <w:rsid w:val="00255464"/>
    <w:rsid w:val="00255B3B"/>
    <w:rsid w:val="0025630F"/>
    <w:rsid w:val="00262A1D"/>
    <w:rsid w:val="00267343"/>
    <w:rsid w:val="002724B4"/>
    <w:rsid w:val="0027547D"/>
    <w:rsid w:val="00297959"/>
    <w:rsid w:val="002A0942"/>
    <w:rsid w:val="002A0FE8"/>
    <w:rsid w:val="002A5FB9"/>
    <w:rsid w:val="002B1D10"/>
    <w:rsid w:val="002B2F01"/>
    <w:rsid w:val="002B656A"/>
    <w:rsid w:val="002C2093"/>
    <w:rsid w:val="002C645E"/>
    <w:rsid w:val="002D0BD9"/>
    <w:rsid w:val="002D28BC"/>
    <w:rsid w:val="002D3662"/>
    <w:rsid w:val="002D42EE"/>
    <w:rsid w:val="002D65D3"/>
    <w:rsid w:val="002D7E67"/>
    <w:rsid w:val="002E13E5"/>
    <w:rsid w:val="002E1515"/>
    <w:rsid w:val="002F5354"/>
    <w:rsid w:val="002F5E69"/>
    <w:rsid w:val="00304816"/>
    <w:rsid w:val="00305C12"/>
    <w:rsid w:val="00305FF5"/>
    <w:rsid w:val="00311469"/>
    <w:rsid w:val="00315256"/>
    <w:rsid w:val="003176FD"/>
    <w:rsid w:val="00317884"/>
    <w:rsid w:val="00320B02"/>
    <w:rsid w:val="00321576"/>
    <w:rsid w:val="0032621F"/>
    <w:rsid w:val="00327600"/>
    <w:rsid w:val="00336D92"/>
    <w:rsid w:val="003401D1"/>
    <w:rsid w:val="00343C4F"/>
    <w:rsid w:val="00344313"/>
    <w:rsid w:val="003607E7"/>
    <w:rsid w:val="0037312B"/>
    <w:rsid w:val="003767F0"/>
    <w:rsid w:val="00382B52"/>
    <w:rsid w:val="00392312"/>
    <w:rsid w:val="003957DD"/>
    <w:rsid w:val="00395B11"/>
    <w:rsid w:val="003A3254"/>
    <w:rsid w:val="003A4EF9"/>
    <w:rsid w:val="003A7C39"/>
    <w:rsid w:val="003B3607"/>
    <w:rsid w:val="003B42A6"/>
    <w:rsid w:val="003C2C54"/>
    <w:rsid w:val="003C587D"/>
    <w:rsid w:val="003C7008"/>
    <w:rsid w:val="003D0CD3"/>
    <w:rsid w:val="003D57AE"/>
    <w:rsid w:val="003D58A5"/>
    <w:rsid w:val="003D75C5"/>
    <w:rsid w:val="003E18B4"/>
    <w:rsid w:val="003E2770"/>
    <w:rsid w:val="003F5B68"/>
    <w:rsid w:val="003F65B1"/>
    <w:rsid w:val="00401853"/>
    <w:rsid w:val="004020CD"/>
    <w:rsid w:val="00404AA7"/>
    <w:rsid w:val="00412E9A"/>
    <w:rsid w:val="00416831"/>
    <w:rsid w:val="00425023"/>
    <w:rsid w:val="00426DE8"/>
    <w:rsid w:val="00427857"/>
    <w:rsid w:val="00433347"/>
    <w:rsid w:val="00436F97"/>
    <w:rsid w:val="004375FD"/>
    <w:rsid w:val="00440EAA"/>
    <w:rsid w:val="00442119"/>
    <w:rsid w:val="00447DEC"/>
    <w:rsid w:val="004513B2"/>
    <w:rsid w:val="0045232C"/>
    <w:rsid w:val="00452EE9"/>
    <w:rsid w:val="0045345A"/>
    <w:rsid w:val="00455648"/>
    <w:rsid w:val="00456FE6"/>
    <w:rsid w:val="0045751A"/>
    <w:rsid w:val="00463100"/>
    <w:rsid w:val="00463181"/>
    <w:rsid w:val="00466B7F"/>
    <w:rsid w:val="004670FB"/>
    <w:rsid w:val="004677B9"/>
    <w:rsid w:val="004719D0"/>
    <w:rsid w:val="0047208E"/>
    <w:rsid w:val="0047605C"/>
    <w:rsid w:val="004770AC"/>
    <w:rsid w:val="00482BE1"/>
    <w:rsid w:val="00486AC2"/>
    <w:rsid w:val="004925F1"/>
    <w:rsid w:val="004A4025"/>
    <w:rsid w:val="004A64BB"/>
    <w:rsid w:val="004B44AC"/>
    <w:rsid w:val="004C14A4"/>
    <w:rsid w:val="004C21A0"/>
    <w:rsid w:val="004C6210"/>
    <w:rsid w:val="004C62B7"/>
    <w:rsid w:val="004C64A5"/>
    <w:rsid w:val="004C720F"/>
    <w:rsid w:val="004C7DD5"/>
    <w:rsid w:val="004D1903"/>
    <w:rsid w:val="004E31B2"/>
    <w:rsid w:val="004E47D0"/>
    <w:rsid w:val="004F19ED"/>
    <w:rsid w:val="004F5CB3"/>
    <w:rsid w:val="00501EA2"/>
    <w:rsid w:val="00514483"/>
    <w:rsid w:val="00516A6F"/>
    <w:rsid w:val="00523835"/>
    <w:rsid w:val="00525C96"/>
    <w:rsid w:val="0052679F"/>
    <w:rsid w:val="00527BCC"/>
    <w:rsid w:val="00530E8C"/>
    <w:rsid w:val="00532178"/>
    <w:rsid w:val="00536C64"/>
    <w:rsid w:val="00537482"/>
    <w:rsid w:val="00541A63"/>
    <w:rsid w:val="00551EF6"/>
    <w:rsid w:val="00553BA3"/>
    <w:rsid w:val="005549E0"/>
    <w:rsid w:val="00556F17"/>
    <w:rsid w:val="0056540D"/>
    <w:rsid w:val="00566560"/>
    <w:rsid w:val="00566BD6"/>
    <w:rsid w:val="00570C79"/>
    <w:rsid w:val="00572454"/>
    <w:rsid w:val="0057266A"/>
    <w:rsid w:val="00574074"/>
    <w:rsid w:val="00574FC8"/>
    <w:rsid w:val="005828EC"/>
    <w:rsid w:val="00582B4D"/>
    <w:rsid w:val="00583A21"/>
    <w:rsid w:val="0058411C"/>
    <w:rsid w:val="00586CDE"/>
    <w:rsid w:val="00587D87"/>
    <w:rsid w:val="00587DD5"/>
    <w:rsid w:val="00591726"/>
    <w:rsid w:val="00592ACB"/>
    <w:rsid w:val="005967D6"/>
    <w:rsid w:val="00596F40"/>
    <w:rsid w:val="0059776A"/>
    <w:rsid w:val="005A2A5B"/>
    <w:rsid w:val="005A2E22"/>
    <w:rsid w:val="005A4F9D"/>
    <w:rsid w:val="005B04D0"/>
    <w:rsid w:val="005B0F0F"/>
    <w:rsid w:val="005B22FA"/>
    <w:rsid w:val="005B42E0"/>
    <w:rsid w:val="005C1DC4"/>
    <w:rsid w:val="005C2727"/>
    <w:rsid w:val="005C3471"/>
    <w:rsid w:val="005C3B0D"/>
    <w:rsid w:val="005C4413"/>
    <w:rsid w:val="005C457B"/>
    <w:rsid w:val="005D2206"/>
    <w:rsid w:val="005D68D3"/>
    <w:rsid w:val="005E00EC"/>
    <w:rsid w:val="005E0CF7"/>
    <w:rsid w:val="005E2E84"/>
    <w:rsid w:val="005F0C8D"/>
    <w:rsid w:val="005F3791"/>
    <w:rsid w:val="005F7853"/>
    <w:rsid w:val="00601B9E"/>
    <w:rsid w:val="00604BA3"/>
    <w:rsid w:val="0061260D"/>
    <w:rsid w:val="00612891"/>
    <w:rsid w:val="00641604"/>
    <w:rsid w:val="006424BC"/>
    <w:rsid w:val="006441F3"/>
    <w:rsid w:val="00647787"/>
    <w:rsid w:val="0066116B"/>
    <w:rsid w:val="00666A7C"/>
    <w:rsid w:val="00666E2A"/>
    <w:rsid w:val="006769A0"/>
    <w:rsid w:val="006778E0"/>
    <w:rsid w:val="006843AC"/>
    <w:rsid w:val="00686AE6"/>
    <w:rsid w:val="006909E6"/>
    <w:rsid w:val="00691133"/>
    <w:rsid w:val="00691A37"/>
    <w:rsid w:val="006939EB"/>
    <w:rsid w:val="00693F47"/>
    <w:rsid w:val="00695DCE"/>
    <w:rsid w:val="00697B89"/>
    <w:rsid w:val="006A3E08"/>
    <w:rsid w:val="006C1DDF"/>
    <w:rsid w:val="006C2134"/>
    <w:rsid w:val="006C3E52"/>
    <w:rsid w:val="006C3EC0"/>
    <w:rsid w:val="006C76F7"/>
    <w:rsid w:val="006C77E2"/>
    <w:rsid w:val="006D24F2"/>
    <w:rsid w:val="006D3FCC"/>
    <w:rsid w:val="006E0DBE"/>
    <w:rsid w:val="006E193D"/>
    <w:rsid w:val="006E2E3A"/>
    <w:rsid w:val="006E42C0"/>
    <w:rsid w:val="006E795E"/>
    <w:rsid w:val="006F23F6"/>
    <w:rsid w:val="006F77CA"/>
    <w:rsid w:val="00702664"/>
    <w:rsid w:val="00702C2F"/>
    <w:rsid w:val="00703697"/>
    <w:rsid w:val="00707C3B"/>
    <w:rsid w:val="00713856"/>
    <w:rsid w:val="0071745A"/>
    <w:rsid w:val="007207F0"/>
    <w:rsid w:val="00721EF5"/>
    <w:rsid w:val="0073404A"/>
    <w:rsid w:val="00735577"/>
    <w:rsid w:val="00745444"/>
    <w:rsid w:val="00745757"/>
    <w:rsid w:val="00745FD4"/>
    <w:rsid w:val="007504FB"/>
    <w:rsid w:val="00755F55"/>
    <w:rsid w:val="00771D8B"/>
    <w:rsid w:val="0077554C"/>
    <w:rsid w:val="00776BF8"/>
    <w:rsid w:val="0077778F"/>
    <w:rsid w:val="007807BC"/>
    <w:rsid w:val="0078585A"/>
    <w:rsid w:val="00787F3C"/>
    <w:rsid w:val="007A3F0F"/>
    <w:rsid w:val="007A6816"/>
    <w:rsid w:val="007B306E"/>
    <w:rsid w:val="007B4E2A"/>
    <w:rsid w:val="007C462B"/>
    <w:rsid w:val="007C65B9"/>
    <w:rsid w:val="007D4024"/>
    <w:rsid w:val="007D57FD"/>
    <w:rsid w:val="007D6820"/>
    <w:rsid w:val="007E1908"/>
    <w:rsid w:val="007E3262"/>
    <w:rsid w:val="007F00E2"/>
    <w:rsid w:val="007F0EDB"/>
    <w:rsid w:val="007F1678"/>
    <w:rsid w:val="00802E67"/>
    <w:rsid w:val="00811E7B"/>
    <w:rsid w:val="008151C2"/>
    <w:rsid w:val="008166C8"/>
    <w:rsid w:val="0081742C"/>
    <w:rsid w:val="008207AF"/>
    <w:rsid w:val="00830542"/>
    <w:rsid w:val="00833E38"/>
    <w:rsid w:val="008379CD"/>
    <w:rsid w:val="00840077"/>
    <w:rsid w:val="008413C5"/>
    <w:rsid w:val="00841D26"/>
    <w:rsid w:val="008444A8"/>
    <w:rsid w:val="008450AA"/>
    <w:rsid w:val="008458C5"/>
    <w:rsid w:val="00847409"/>
    <w:rsid w:val="00850DD2"/>
    <w:rsid w:val="00851FF2"/>
    <w:rsid w:val="00852232"/>
    <w:rsid w:val="00854A23"/>
    <w:rsid w:val="00855352"/>
    <w:rsid w:val="0086119A"/>
    <w:rsid w:val="00861992"/>
    <w:rsid w:val="00862328"/>
    <w:rsid w:val="0086477D"/>
    <w:rsid w:val="00873D35"/>
    <w:rsid w:val="0087767B"/>
    <w:rsid w:val="00877C19"/>
    <w:rsid w:val="00880A18"/>
    <w:rsid w:val="00884BA3"/>
    <w:rsid w:val="008877E6"/>
    <w:rsid w:val="00891306"/>
    <w:rsid w:val="00892138"/>
    <w:rsid w:val="008A1C8C"/>
    <w:rsid w:val="008A34B7"/>
    <w:rsid w:val="008A497E"/>
    <w:rsid w:val="008A4A19"/>
    <w:rsid w:val="008B7A23"/>
    <w:rsid w:val="008D0301"/>
    <w:rsid w:val="008E1FE4"/>
    <w:rsid w:val="008F0BDF"/>
    <w:rsid w:val="008F1970"/>
    <w:rsid w:val="008F51BA"/>
    <w:rsid w:val="00904671"/>
    <w:rsid w:val="009100C3"/>
    <w:rsid w:val="00911ECF"/>
    <w:rsid w:val="00916A44"/>
    <w:rsid w:val="0092051D"/>
    <w:rsid w:val="00922DCA"/>
    <w:rsid w:val="00924A9F"/>
    <w:rsid w:val="00925910"/>
    <w:rsid w:val="009276EE"/>
    <w:rsid w:val="00931574"/>
    <w:rsid w:val="009318F5"/>
    <w:rsid w:val="009332FC"/>
    <w:rsid w:val="0094143C"/>
    <w:rsid w:val="009426DD"/>
    <w:rsid w:val="009478B0"/>
    <w:rsid w:val="009524B9"/>
    <w:rsid w:val="00962434"/>
    <w:rsid w:val="00970A21"/>
    <w:rsid w:val="00971BCF"/>
    <w:rsid w:val="009740FB"/>
    <w:rsid w:val="009801A1"/>
    <w:rsid w:val="00984EC5"/>
    <w:rsid w:val="00987168"/>
    <w:rsid w:val="0099791B"/>
    <w:rsid w:val="009A18E3"/>
    <w:rsid w:val="009A4516"/>
    <w:rsid w:val="009A5A27"/>
    <w:rsid w:val="009A5FB4"/>
    <w:rsid w:val="009A7D54"/>
    <w:rsid w:val="009B1E55"/>
    <w:rsid w:val="009B4ED6"/>
    <w:rsid w:val="009C55B5"/>
    <w:rsid w:val="009D482A"/>
    <w:rsid w:val="009F08B8"/>
    <w:rsid w:val="009F646A"/>
    <w:rsid w:val="00A03939"/>
    <w:rsid w:val="00A06134"/>
    <w:rsid w:val="00A152D5"/>
    <w:rsid w:val="00A159BD"/>
    <w:rsid w:val="00A2576F"/>
    <w:rsid w:val="00A30983"/>
    <w:rsid w:val="00A309E5"/>
    <w:rsid w:val="00A30AB0"/>
    <w:rsid w:val="00A43B85"/>
    <w:rsid w:val="00A44033"/>
    <w:rsid w:val="00A44A11"/>
    <w:rsid w:val="00A50292"/>
    <w:rsid w:val="00A5454F"/>
    <w:rsid w:val="00A56BBC"/>
    <w:rsid w:val="00A613C0"/>
    <w:rsid w:val="00A6333A"/>
    <w:rsid w:val="00A6463A"/>
    <w:rsid w:val="00A7455F"/>
    <w:rsid w:val="00A749B3"/>
    <w:rsid w:val="00A77058"/>
    <w:rsid w:val="00A845A3"/>
    <w:rsid w:val="00A913DF"/>
    <w:rsid w:val="00A91A2C"/>
    <w:rsid w:val="00A96C63"/>
    <w:rsid w:val="00AA50E6"/>
    <w:rsid w:val="00AA602D"/>
    <w:rsid w:val="00AB4771"/>
    <w:rsid w:val="00AB7669"/>
    <w:rsid w:val="00AC0C50"/>
    <w:rsid w:val="00AC2A1D"/>
    <w:rsid w:val="00AC5E74"/>
    <w:rsid w:val="00AD21D7"/>
    <w:rsid w:val="00AD259E"/>
    <w:rsid w:val="00AD3319"/>
    <w:rsid w:val="00AD3C14"/>
    <w:rsid w:val="00AE3105"/>
    <w:rsid w:val="00AE6BC7"/>
    <w:rsid w:val="00AF2D0D"/>
    <w:rsid w:val="00AF3DEB"/>
    <w:rsid w:val="00AF4FD2"/>
    <w:rsid w:val="00B00CD1"/>
    <w:rsid w:val="00B01214"/>
    <w:rsid w:val="00B071A3"/>
    <w:rsid w:val="00B10C44"/>
    <w:rsid w:val="00B1693D"/>
    <w:rsid w:val="00B2092A"/>
    <w:rsid w:val="00B2288B"/>
    <w:rsid w:val="00B23D04"/>
    <w:rsid w:val="00B2545E"/>
    <w:rsid w:val="00B25795"/>
    <w:rsid w:val="00B26114"/>
    <w:rsid w:val="00B26AAA"/>
    <w:rsid w:val="00B311A3"/>
    <w:rsid w:val="00B32C78"/>
    <w:rsid w:val="00B35657"/>
    <w:rsid w:val="00B367D5"/>
    <w:rsid w:val="00B41F55"/>
    <w:rsid w:val="00B4371E"/>
    <w:rsid w:val="00B46B5E"/>
    <w:rsid w:val="00B6447D"/>
    <w:rsid w:val="00B74C8D"/>
    <w:rsid w:val="00B761E1"/>
    <w:rsid w:val="00B77281"/>
    <w:rsid w:val="00B806C7"/>
    <w:rsid w:val="00B81D22"/>
    <w:rsid w:val="00B82DF0"/>
    <w:rsid w:val="00B82E00"/>
    <w:rsid w:val="00B937E1"/>
    <w:rsid w:val="00B95E1F"/>
    <w:rsid w:val="00BA1CC5"/>
    <w:rsid w:val="00BA1E39"/>
    <w:rsid w:val="00BA316B"/>
    <w:rsid w:val="00BA6A76"/>
    <w:rsid w:val="00BB169E"/>
    <w:rsid w:val="00BB4204"/>
    <w:rsid w:val="00BB6CC3"/>
    <w:rsid w:val="00BB6D6E"/>
    <w:rsid w:val="00BC5A94"/>
    <w:rsid w:val="00BC77CB"/>
    <w:rsid w:val="00BD430C"/>
    <w:rsid w:val="00BE0912"/>
    <w:rsid w:val="00BE217E"/>
    <w:rsid w:val="00BE3932"/>
    <w:rsid w:val="00BF1FBD"/>
    <w:rsid w:val="00BF567E"/>
    <w:rsid w:val="00C0769D"/>
    <w:rsid w:val="00C07F59"/>
    <w:rsid w:val="00C11E70"/>
    <w:rsid w:val="00C13EBC"/>
    <w:rsid w:val="00C156E4"/>
    <w:rsid w:val="00C24117"/>
    <w:rsid w:val="00C279DD"/>
    <w:rsid w:val="00C30580"/>
    <w:rsid w:val="00C34026"/>
    <w:rsid w:val="00C413CD"/>
    <w:rsid w:val="00C415F4"/>
    <w:rsid w:val="00C41A6C"/>
    <w:rsid w:val="00C42E52"/>
    <w:rsid w:val="00C610B5"/>
    <w:rsid w:val="00C62FBA"/>
    <w:rsid w:val="00C7076B"/>
    <w:rsid w:val="00C760A0"/>
    <w:rsid w:val="00C762E9"/>
    <w:rsid w:val="00C85824"/>
    <w:rsid w:val="00C90584"/>
    <w:rsid w:val="00C914E6"/>
    <w:rsid w:val="00C926C5"/>
    <w:rsid w:val="00C97484"/>
    <w:rsid w:val="00CA6252"/>
    <w:rsid w:val="00CB1BC6"/>
    <w:rsid w:val="00CB3208"/>
    <w:rsid w:val="00CB5779"/>
    <w:rsid w:val="00CC6798"/>
    <w:rsid w:val="00CD0635"/>
    <w:rsid w:val="00CD1959"/>
    <w:rsid w:val="00CD1D41"/>
    <w:rsid w:val="00CD3A24"/>
    <w:rsid w:val="00CD53CA"/>
    <w:rsid w:val="00CD6E4C"/>
    <w:rsid w:val="00CE22AD"/>
    <w:rsid w:val="00CE7689"/>
    <w:rsid w:val="00CE7D4A"/>
    <w:rsid w:val="00CF092D"/>
    <w:rsid w:val="00CF5638"/>
    <w:rsid w:val="00CF7B60"/>
    <w:rsid w:val="00D0024C"/>
    <w:rsid w:val="00D0074E"/>
    <w:rsid w:val="00D04943"/>
    <w:rsid w:val="00D06E28"/>
    <w:rsid w:val="00D126DC"/>
    <w:rsid w:val="00D12FD7"/>
    <w:rsid w:val="00D143DA"/>
    <w:rsid w:val="00D14B6F"/>
    <w:rsid w:val="00D15436"/>
    <w:rsid w:val="00D1589B"/>
    <w:rsid w:val="00D16E8E"/>
    <w:rsid w:val="00D2687D"/>
    <w:rsid w:val="00D35DD3"/>
    <w:rsid w:val="00D43EA1"/>
    <w:rsid w:val="00D44996"/>
    <w:rsid w:val="00D47EE6"/>
    <w:rsid w:val="00D51413"/>
    <w:rsid w:val="00D519CF"/>
    <w:rsid w:val="00D5702D"/>
    <w:rsid w:val="00D5740E"/>
    <w:rsid w:val="00D60AFD"/>
    <w:rsid w:val="00D64650"/>
    <w:rsid w:val="00D65F69"/>
    <w:rsid w:val="00D666D5"/>
    <w:rsid w:val="00D74A77"/>
    <w:rsid w:val="00D761AE"/>
    <w:rsid w:val="00D7749C"/>
    <w:rsid w:val="00D77760"/>
    <w:rsid w:val="00D80D72"/>
    <w:rsid w:val="00D83288"/>
    <w:rsid w:val="00D846BD"/>
    <w:rsid w:val="00D84E14"/>
    <w:rsid w:val="00D923AD"/>
    <w:rsid w:val="00D94B61"/>
    <w:rsid w:val="00D96296"/>
    <w:rsid w:val="00D97981"/>
    <w:rsid w:val="00DA0A45"/>
    <w:rsid w:val="00DA135D"/>
    <w:rsid w:val="00DA215C"/>
    <w:rsid w:val="00DA4D26"/>
    <w:rsid w:val="00DB2AAB"/>
    <w:rsid w:val="00DB4405"/>
    <w:rsid w:val="00DB5F77"/>
    <w:rsid w:val="00DC1BBE"/>
    <w:rsid w:val="00DC1F63"/>
    <w:rsid w:val="00DC2084"/>
    <w:rsid w:val="00DC412E"/>
    <w:rsid w:val="00DC73F8"/>
    <w:rsid w:val="00DD1858"/>
    <w:rsid w:val="00DD2433"/>
    <w:rsid w:val="00DD34A3"/>
    <w:rsid w:val="00DE1D25"/>
    <w:rsid w:val="00DF03ED"/>
    <w:rsid w:val="00DF477E"/>
    <w:rsid w:val="00DF515D"/>
    <w:rsid w:val="00DF56E7"/>
    <w:rsid w:val="00DF70C1"/>
    <w:rsid w:val="00DF7582"/>
    <w:rsid w:val="00E02900"/>
    <w:rsid w:val="00E132CE"/>
    <w:rsid w:val="00E14158"/>
    <w:rsid w:val="00E209F9"/>
    <w:rsid w:val="00E26724"/>
    <w:rsid w:val="00E30B45"/>
    <w:rsid w:val="00E354ED"/>
    <w:rsid w:val="00E35A11"/>
    <w:rsid w:val="00E36A0F"/>
    <w:rsid w:val="00E50324"/>
    <w:rsid w:val="00E603BE"/>
    <w:rsid w:val="00E64103"/>
    <w:rsid w:val="00E66739"/>
    <w:rsid w:val="00E70245"/>
    <w:rsid w:val="00E71C48"/>
    <w:rsid w:val="00E80253"/>
    <w:rsid w:val="00E84A25"/>
    <w:rsid w:val="00E873B0"/>
    <w:rsid w:val="00E92873"/>
    <w:rsid w:val="00EA1E03"/>
    <w:rsid w:val="00EA39AD"/>
    <w:rsid w:val="00EA7E41"/>
    <w:rsid w:val="00EB0CCB"/>
    <w:rsid w:val="00EB5822"/>
    <w:rsid w:val="00EB5E7E"/>
    <w:rsid w:val="00EC4F07"/>
    <w:rsid w:val="00EC5A14"/>
    <w:rsid w:val="00ED1952"/>
    <w:rsid w:val="00ED79CE"/>
    <w:rsid w:val="00EE0E85"/>
    <w:rsid w:val="00EE32A8"/>
    <w:rsid w:val="00EE50DC"/>
    <w:rsid w:val="00EF0436"/>
    <w:rsid w:val="00EF1A2D"/>
    <w:rsid w:val="00EF2870"/>
    <w:rsid w:val="00EF4D2D"/>
    <w:rsid w:val="00F02375"/>
    <w:rsid w:val="00F11E34"/>
    <w:rsid w:val="00F12948"/>
    <w:rsid w:val="00F175B7"/>
    <w:rsid w:val="00F21162"/>
    <w:rsid w:val="00F24A5D"/>
    <w:rsid w:val="00F26D5D"/>
    <w:rsid w:val="00F319C5"/>
    <w:rsid w:val="00F346EB"/>
    <w:rsid w:val="00F3534E"/>
    <w:rsid w:val="00F40213"/>
    <w:rsid w:val="00F42E19"/>
    <w:rsid w:val="00F43F5F"/>
    <w:rsid w:val="00F45D3F"/>
    <w:rsid w:val="00F46B68"/>
    <w:rsid w:val="00F501E9"/>
    <w:rsid w:val="00F53D1A"/>
    <w:rsid w:val="00F5681C"/>
    <w:rsid w:val="00F72EA7"/>
    <w:rsid w:val="00F74ADE"/>
    <w:rsid w:val="00F774BE"/>
    <w:rsid w:val="00F804F5"/>
    <w:rsid w:val="00F81709"/>
    <w:rsid w:val="00F81B43"/>
    <w:rsid w:val="00F832A6"/>
    <w:rsid w:val="00F838A3"/>
    <w:rsid w:val="00F85DC8"/>
    <w:rsid w:val="00F86B05"/>
    <w:rsid w:val="00F965E1"/>
    <w:rsid w:val="00FA2937"/>
    <w:rsid w:val="00FA3CC6"/>
    <w:rsid w:val="00FA66E7"/>
    <w:rsid w:val="00FB5082"/>
    <w:rsid w:val="00FB511F"/>
    <w:rsid w:val="00FC0AD6"/>
    <w:rsid w:val="00FC618B"/>
    <w:rsid w:val="00FD0544"/>
    <w:rsid w:val="00FD06EE"/>
    <w:rsid w:val="00FD166C"/>
    <w:rsid w:val="00FF2183"/>
    <w:rsid w:val="00FF26B5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30B667"/>
  <w15:docId w15:val="{8F87B9E9-5FB0-4EEC-A5D5-753B71D9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74E"/>
    <w:pPr>
      <w:spacing w:after="120"/>
      <w:ind w:right="57"/>
      <w:jc w:val="both"/>
    </w:pPr>
    <w:rPr>
      <w:rFonts w:ascii="Verdana" w:hAnsi="Verdana"/>
      <w:spacing w:val="-2"/>
      <w:szCs w:val="24"/>
    </w:rPr>
  </w:style>
  <w:style w:type="paragraph" w:styleId="Heading1">
    <w:name w:val="heading 1"/>
    <w:basedOn w:val="Normal"/>
    <w:next w:val="5Normal"/>
    <w:qFormat/>
    <w:rsid w:val="00F77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301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10C44"/>
    <w:pPr>
      <w:tabs>
        <w:tab w:val="center" w:pos="4153"/>
        <w:tab w:val="right" w:pos="8306"/>
      </w:tabs>
    </w:pPr>
  </w:style>
  <w:style w:type="paragraph" w:customStyle="1" w:styleId="3Titre">
    <w:name w:val="3 Titre"/>
    <w:basedOn w:val="Normal"/>
    <w:next w:val="5Normal"/>
    <w:rsid w:val="00B46B5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240" w:after="240"/>
    </w:pPr>
    <w:rPr>
      <w:b/>
      <w:sz w:val="28"/>
      <w:szCs w:val="28"/>
    </w:rPr>
  </w:style>
  <w:style w:type="paragraph" w:customStyle="1" w:styleId="2Date">
    <w:name w:val="2 Date"/>
    <w:basedOn w:val="Normal"/>
    <w:next w:val="3Titre"/>
    <w:link w:val="2DateCharChar"/>
    <w:rsid w:val="00B10C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480"/>
      <w:jc w:val="right"/>
    </w:pPr>
    <w:rPr>
      <w:szCs w:val="20"/>
    </w:rPr>
  </w:style>
  <w:style w:type="character" w:customStyle="1" w:styleId="2DateCharChar">
    <w:name w:val="2 Date Char Char"/>
    <w:link w:val="2Date"/>
    <w:locked/>
    <w:rsid w:val="00B10C44"/>
    <w:rPr>
      <w:rFonts w:ascii="Verdana" w:hAnsi="Verdana"/>
      <w:lang w:val="en-GB" w:eastAsia="en-GB" w:bidi="ar-SA"/>
    </w:rPr>
  </w:style>
  <w:style w:type="paragraph" w:customStyle="1" w:styleId="EuropeanCommissionPR">
    <w:name w:val="EuropeanCommissionPR"/>
    <w:basedOn w:val="Normal"/>
    <w:link w:val="EuropeanCommissionPRCharChar"/>
    <w:rsid w:val="00B46B5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240"/>
      <w:jc w:val="center"/>
      <w:outlineLvl w:val="2"/>
    </w:pPr>
    <w:rPr>
      <w:rFonts w:cs="Arial"/>
      <w:b/>
      <w:bCs/>
      <w:smallCaps/>
      <w:sz w:val="24"/>
    </w:rPr>
  </w:style>
  <w:style w:type="character" w:customStyle="1" w:styleId="EuropeanCommissionPRCharChar">
    <w:name w:val="EuropeanCommissionPR Char Char"/>
    <w:link w:val="EuropeanCommissionPR"/>
    <w:locked/>
    <w:rsid w:val="00B46B5E"/>
    <w:rPr>
      <w:rFonts w:ascii="Verdana" w:hAnsi="Verdana" w:cs="Arial"/>
      <w:b/>
      <w:bCs/>
      <w:smallCaps/>
      <w:sz w:val="24"/>
      <w:szCs w:val="24"/>
      <w:lang w:val="en-GB" w:eastAsia="en-GB" w:bidi="ar-SA"/>
    </w:rPr>
  </w:style>
  <w:style w:type="paragraph" w:customStyle="1" w:styleId="5Normal">
    <w:name w:val="5 Normal"/>
    <w:basedOn w:val="Normal"/>
    <w:link w:val="5NormalChar"/>
    <w:rsid w:val="00B10C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</w:pPr>
  </w:style>
  <w:style w:type="character" w:customStyle="1" w:styleId="5NormalChar">
    <w:name w:val="5 Normal Char"/>
    <w:link w:val="5Normal"/>
    <w:locked/>
    <w:rsid w:val="00B46B5E"/>
    <w:rPr>
      <w:rFonts w:ascii="Verdana" w:hAnsi="Verdana"/>
      <w:spacing w:val="-2"/>
      <w:szCs w:val="24"/>
      <w:lang w:val="en-GB" w:eastAsia="en-GB" w:bidi="ar-SA"/>
    </w:rPr>
  </w:style>
  <w:style w:type="paragraph" w:customStyle="1" w:styleId="Sous-titre1">
    <w:name w:val="Sous-titre 1"/>
    <w:basedOn w:val="Normal"/>
    <w:next w:val="5Normal"/>
    <w:autoRedefine/>
    <w:uiPriority w:val="99"/>
    <w:rsid w:val="00A845A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240" w:after="80"/>
    </w:pPr>
    <w:rPr>
      <w:b/>
      <w:sz w:val="24"/>
      <w:szCs w:val="20"/>
    </w:rPr>
  </w:style>
  <w:style w:type="table" w:styleId="TableGrid">
    <w:name w:val="Table Grid"/>
    <w:basedOn w:val="TableNormal"/>
    <w:rsid w:val="00B10C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rPr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10C44"/>
    <w:rPr>
      <w:rFonts w:cs="Times New Roman"/>
      <w:color w:val="0000FF"/>
      <w:u w:val="single"/>
    </w:rPr>
  </w:style>
  <w:style w:type="paragraph" w:customStyle="1" w:styleId="1NNote">
    <w:name w:val="1 N° Note"/>
    <w:basedOn w:val="Normal"/>
    <w:rsid w:val="00F774BE"/>
    <w:pPr>
      <w:spacing w:before="920" w:after="0"/>
      <w:jc w:val="right"/>
    </w:pPr>
    <w:rPr>
      <w:b/>
      <w:caps/>
    </w:rPr>
  </w:style>
  <w:style w:type="paragraph" w:customStyle="1" w:styleId="4Chapeau">
    <w:name w:val="4 Chapeau"/>
    <w:basedOn w:val="Normal"/>
    <w:next w:val="5Normal"/>
    <w:rsid w:val="00B4371E"/>
    <w:pPr>
      <w:spacing w:before="240" w:after="240"/>
    </w:pPr>
    <w:rPr>
      <w:b/>
      <w:i/>
    </w:rPr>
  </w:style>
  <w:style w:type="paragraph" w:customStyle="1" w:styleId="ECHeadings">
    <w:name w:val="EC Headings"/>
    <w:basedOn w:val="EuropeanCommissionPR"/>
    <w:rsid w:val="00F774BE"/>
    <w:rPr>
      <w:sz w:val="20"/>
    </w:rPr>
  </w:style>
  <w:style w:type="character" w:styleId="FollowedHyperlink">
    <w:name w:val="FollowedHyperlink"/>
    <w:rsid w:val="00686AE6"/>
    <w:rPr>
      <w:color w:val="800080"/>
      <w:u w:val="single"/>
    </w:rPr>
  </w:style>
  <w:style w:type="paragraph" w:customStyle="1" w:styleId="Tiret1">
    <w:name w:val="Tiret 1"/>
    <w:basedOn w:val="5Normal"/>
    <w:next w:val="5Normal"/>
    <w:rsid w:val="00686AE6"/>
    <w:pPr>
      <w:numPr>
        <w:numId w:val="11"/>
      </w:numPr>
      <w:spacing w:after="40"/>
    </w:pPr>
  </w:style>
  <w:style w:type="paragraph" w:customStyle="1" w:styleId="Tiret2">
    <w:name w:val="Tiret 2"/>
    <w:basedOn w:val="Normal"/>
    <w:next w:val="Texte2"/>
    <w:rsid w:val="00686AE6"/>
    <w:pPr>
      <w:numPr>
        <w:numId w:val="12"/>
      </w:numPr>
      <w:spacing w:after="40"/>
    </w:pPr>
  </w:style>
  <w:style w:type="paragraph" w:customStyle="1" w:styleId="Tiret3">
    <w:name w:val="Tiret 3"/>
    <w:basedOn w:val="5Normal"/>
    <w:next w:val="Texte3"/>
    <w:rsid w:val="00686AE6"/>
    <w:pPr>
      <w:numPr>
        <w:numId w:val="13"/>
      </w:numPr>
      <w:spacing w:after="40"/>
    </w:pPr>
  </w:style>
  <w:style w:type="paragraph" w:customStyle="1" w:styleId="Texte1">
    <w:name w:val="Texte 1"/>
    <w:basedOn w:val="5Normal"/>
    <w:rsid w:val="00B2545E"/>
    <w:pPr>
      <w:ind w:left="357"/>
    </w:pPr>
  </w:style>
  <w:style w:type="paragraph" w:customStyle="1" w:styleId="Texte2">
    <w:name w:val="Texte 2"/>
    <w:basedOn w:val="5Normal"/>
    <w:rsid w:val="00B2545E"/>
    <w:pPr>
      <w:ind w:left="646"/>
    </w:pPr>
  </w:style>
  <w:style w:type="paragraph" w:customStyle="1" w:styleId="Texte3">
    <w:name w:val="Texte 3"/>
    <w:basedOn w:val="5Normal"/>
    <w:rsid w:val="00B2545E"/>
    <w:pPr>
      <w:ind w:left="1072"/>
    </w:pPr>
  </w:style>
  <w:style w:type="paragraph" w:customStyle="1" w:styleId="Sous-titre2">
    <w:name w:val="Sous-titre 2"/>
    <w:basedOn w:val="Sous-titre1"/>
    <w:next w:val="Texte2"/>
    <w:rsid w:val="00596F40"/>
    <w:pPr>
      <w:spacing w:before="120"/>
      <w:ind w:left="284"/>
    </w:pPr>
  </w:style>
  <w:style w:type="paragraph" w:customStyle="1" w:styleId="Sous-titre3">
    <w:name w:val="Sous-titre 3"/>
    <w:basedOn w:val="Sous-titre1"/>
    <w:next w:val="Texte3"/>
    <w:rsid w:val="00596F40"/>
    <w:pPr>
      <w:spacing w:before="120"/>
      <w:ind w:left="567"/>
    </w:pPr>
  </w:style>
  <w:style w:type="paragraph" w:customStyle="1" w:styleId="DocumentFooter">
    <w:name w:val="Document Footer"/>
    <w:basedOn w:val="Normal"/>
    <w:link w:val="DocumentFooterChar"/>
    <w:autoRedefine/>
    <w:rsid w:val="009100C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jc w:val="right"/>
    </w:pPr>
    <w:rPr>
      <w:rFonts w:cs="Arial"/>
      <w:b/>
      <w:bCs/>
      <w:caps/>
      <w:szCs w:val="20"/>
    </w:rPr>
  </w:style>
  <w:style w:type="character" w:customStyle="1" w:styleId="DocumentFooterChar">
    <w:name w:val="Document Footer Char"/>
    <w:link w:val="DocumentFooter"/>
    <w:locked/>
    <w:rsid w:val="009100C3"/>
    <w:rPr>
      <w:rFonts w:ascii="Verdana" w:hAnsi="Verdana" w:cs="Arial"/>
      <w:b/>
      <w:bCs/>
      <w:caps/>
      <w:lang w:val="en-GB" w:eastAsia="en-GB" w:bidi="ar-SA"/>
    </w:rPr>
  </w:style>
  <w:style w:type="character" w:customStyle="1" w:styleId="FooterChar">
    <w:name w:val="Footer Char"/>
    <w:link w:val="Footer"/>
    <w:rsid w:val="00D80D72"/>
    <w:rPr>
      <w:rFonts w:ascii="Verdana" w:hAnsi="Verdana"/>
      <w:spacing w:val="-2"/>
      <w:szCs w:val="24"/>
    </w:rPr>
  </w:style>
  <w:style w:type="character" w:styleId="PageNumber">
    <w:name w:val="page number"/>
    <w:rsid w:val="00D80D72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rsid w:val="00F11E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1E34"/>
    <w:rPr>
      <w:rFonts w:ascii="Tahoma" w:hAnsi="Tahoma" w:cs="Tahoma"/>
      <w:spacing w:val="-2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23AD"/>
    <w:pPr>
      <w:spacing w:before="100" w:beforeAutospacing="1" w:after="100" w:afterAutospacing="1"/>
      <w:ind w:right="0"/>
      <w:jc w:val="left"/>
    </w:pPr>
    <w:rPr>
      <w:rFonts w:ascii="Times New Roman" w:hAnsi="Times New Roman"/>
      <w:spacing w:val="0"/>
      <w:sz w:val="24"/>
    </w:rPr>
  </w:style>
  <w:style w:type="paragraph" w:customStyle="1" w:styleId="Briefingtext">
    <w:name w:val="Briefing text"/>
    <w:basedOn w:val="Normal"/>
    <w:link w:val="BriefingtextChar"/>
    <w:rsid w:val="00C0769D"/>
    <w:pPr>
      <w:spacing w:after="240"/>
      <w:ind w:right="0"/>
    </w:pPr>
    <w:rPr>
      <w:rFonts w:ascii="Arial" w:hAnsi="Arial" w:cs="Arial"/>
      <w:spacing w:val="0"/>
      <w:sz w:val="22"/>
      <w:lang w:eastAsia="en-US"/>
    </w:rPr>
  </w:style>
  <w:style w:type="character" w:customStyle="1" w:styleId="BriefingtextChar">
    <w:name w:val="Briefing text Char"/>
    <w:link w:val="Briefingtext"/>
    <w:rsid w:val="00C0769D"/>
    <w:rPr>
      <w:rFonts w:ascii="Arial" w:hAnsi="Arial" w:cs="Arial"/>
      <w:sz w:val="22"/>
      <w:szCs w:val="24"/>
      <w:lang w:eastAsia="en-US"/>
    </w:rPr>
  </w:style>
  <w:style w:type="paragraph" w:customStyle="1" w:styleId="Briefinglist1">
    <w:name w:val="Briefing list 1"/>
    <w:basedOn w:val="Briefingtext"/>
    <w:rsid w:val="00C0769D"/>
    <w:pPr>
      <w:keepLines/>
      <w:numPr>
        <w:numId w:val="21"/>
      </w:numPr>
      <w:tabs>
        <w:tab w:val="clear" w:pos="426"/>
        <w:tab w:val="num" w:pos="360"/>
      </w:tabs>
      <w:spacing w:after="120"/>
      <w:ind w:left="360" w:hanging="360"/>
    </w:pPr>
  </w:style>
  <w:style w:type="paragraph" w:styleId="FootnoteText">
    <w:name w:val="footnote text"/>
    <w:basedOn w:val="Normal"/>
    <w:link w:val="FootnoteTextChar"/>
    <w:rsid w:val="00026E75"/>
    <w:rPr>
      <w:szCs w:val="20"/>
    </w:rPr>
  </w:style>
  <w:style w:type="character" w:customStyle="1" w:styleId="FootnoteTextChar">
    <w:name w:val="Footnote Text Char"/>
    <w:link w:val="FootnoteText"/>
    <w:rsid w:val="00026E75"/>
    <w:rPr>
      <w:rFonts w:ascii="Verdana" w:hAnsi="Verdana"/>
      <w:spacing w:val="-2"/>
    </w:rPr>
  </w:style>
  <w:style w:type="character" w:styleId="FootnoteReference">
    <w:name w:val="footnote reference"/>
    <w:rsid w:val="00026E75"/>
    <w:rPr>
      <w:vertAlign w:val="superscript"/>
    </w:rPr>
  </w:style>
  <w:style w:type="character" w:styleId="CommentReference">
    <w:name w:val="annotation reference"/>
    <w:rsid w:val="002F5E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5E69"/>
    <w:rPr>
      <w:szCs w:val="20"/>
    </w:rPr>
  </w:style>
  <w:style w:type="character" w:customStyle="1" w:styleId="CommentTextChar">
    <w:name w:val="Comment Text Char"/>
    <w:link w:val="CommentText"/>
    <w:rsid w:val="002F5E69"/>
    <w:rPr>
      <w:rFonts w:ascii="Verdana" w:hAnsi="Verdana"/>
      <w:spacing w:val="-2"/>
    </w:rPr>
  </w:style>
  <w:style w:type="paragraph" w:styleId="CommentSubject">
    <w:name w:val="annotation subject"/>
    <w:basedOn w:val="CommentText"/>
    <w:next w:val="CommentText"/>
    <w:link w:val="CommentSubjectChar"/>
    <w:rsid w:val="002F5E69"/>
    <w:rPr>
      <w:b/>
      <w:bCs/>
    </w:rPr>
  </w:style>
  <w:style w:type="character" w:customStyle="1" w:styleId="CommentSubjectChar">
    <w:name w:val="Comment Subject Char"/>
    <w:link w:val="CommentSubject"/>
    <w:rsid w:val="002F5E69"/>
    <w:rPr>
      <w:rFonts w:ascii="Verdana" w:hAnsi="Verdana"/>
      <w:b/>
      <w:bCs/>
      <w:spacing w:val="-2"/>
    </w:rPr>
  </w:style>
  <w:style w:type="character" w:styleId="Emphasis">
    <w:name w:val="Emphasis"/>
    <w:uiPriority w:val="20"/>
    <w:qFormat/>
    <w:rsid w:val="00327600"/>
    <w:rPr>
      <w:i/>
      <w:iCs/>
    </w:rPr>
  </w:style>
  <w:style w:type="character" w:customStyle="1" w:styleId="tw4winExternal">
    <w:name w:val="tw4winExternal"/>
    <w:rsid w:val="00B35657"/>
    <w:rPr>
      <w:rFonts w:ascii="Courier New" w:hAnsi="Courier New"/>
      <w:color w:val="808080"/>
    </w:rPr>
  </w:style>
  <w:style w:type="paragraph" w:customStyle="1" w:styleId="Default">
    <w:name w:val="Default"/>
    <w:rsid w:val="00BF1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9DD"/>
    <w:pPr>
      <w:spacing w:after="200" w:line="276" w:lineRule="auto"/>
      <w:ind w:left="720" w:right="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806C7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13018F"/>
    <w:rPr>
      <w:rFonts w:asciiTheme="majorHAnsi" w:eastAsiaTheme="majorEastAsia" w:hAnsiTheme="majorHAnsi" w:cstheme="majorBidi"/>
      <w:color w:val="243F60" w:themeColor="accent1" w:themeShade="7F"/>
      <w:spacing w:val="-2"/>
      <w:szCs w:val="24"/>
    </w:rPr>
  </w:style>
  <w:style w:type="paragraph" w:styleId="Revision">
    <w:name w:val="Revision"/>
    <w:hidden/>
    <w:uiPriority w:val="99"/>
    <w:semiHidden/>
    <w:rsid w:val="006E193D"/>
    <w:rPr>
      <w:rFonts w:ascii="Verdana" w:hAnsi="Verdana"/>
      <w:spacing w:val="-2"/>
      <w:szCs w:val="24"/>
    </w:rPr>
  </w:style>
  <w:style w:type="table" w:styleId="GridTable1Light-Accent1">
    <w:name w:val="Grid Table 1 Light Accent 1"/>
    <w:basedOn w:val="TableNormal"/>
    <w:uiPriority w:val="46"/>
    <w:rsid w:val="004020C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92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50295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09471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1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87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7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8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51827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6067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2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1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1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96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4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inea.ec.europa.eu/connecting-europe-facility/about-connecting-europe-facility_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cinea.ec.europa.eu/connecting-europe-facility/about-connecting-europe-facility_e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inea.ec.europa.eu/cinea-data-hubs_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hart" Target="charts/chart2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mipi\AppData\Roaming\Microsoft\Templates\Nvi_MEMO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PR_v3!$B$20</c:f>
              <c:strCache>
                <c:ptCount val="1"/>
                <c:pt idx="0">
                  <c:v>Number of electric charging stations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FAB-4073-BCD7-6078FEE50C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FAB-4073-BCD7-6078FEE50C7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PR_v3!$A$21:$A$22</c:f>
              <c:strCache>
                <c:ptCount val="2"/>
                <c:pt idx="0">
                  <c:v>AFIF 1 - 4</c:v>
                </c:pt>
                <c:pt idx="1">
                  <c:v>AFIF 5</c:v>
                </c:pt>
              </c:strCache>
            </c:strRef>
          </c:cat>
          <c:val>
            <c:numRef>
              <c:f>PR_v3!$B$21:$B$22</c:f>
              <c:numCache>
                <c:formatCode>#,##0</c:formatCode>
                <c:ptCount val="2"/>
                <c:pt idx="0">
                  <c:v>3956</c:v>
                </c:pt>
                <c:pt idx="1">
                  <c:v>786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AB-4073-BCD7-6078FEE50C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211399845849685"/>
          <c:y val="0.41816906507376228"/>
          <c:w val="0.1810816324055278"/>
          <c:h val="0.212684405828581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PR_v3!$B$2</c:f>
              <c:strCache>
                <c:ptCount val="1"/>
                <c:pt idx="0">
                  <c:v>Number of Hydrogen Refuelling Stations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4E7-4C71-9798-C0BE7475C4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4E7-4C71-9798-C0BE7475C4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PR_v3!$A$3:$A$4</c:f>
              <c:strCache>
                <c:ptCount val="2"/>
                <c:pt idx="0">
                  <c:v>AFIF 1 - 4</c:v>
                </c:pt>
                <c:pt idx="1">
                  <c:v>AFIF 5</c:v>
                </c:pt>
              </c:strCache>
            </c:strRef>
          </c:cat>
          <c:val>
            <c:numRef>
              <c:f>PR_v3!$B$3:$B$4</c:f>
              <c:numCache>
                <c:formatCode>#,##0</c:formatCode>
                <c:ptCount val="2"/>
                <c:pt idx="0">
                  <c:v>154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4E7-4C71-9798-C0BE7475C4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980794739367252"/>
          <c:y val="0.39916848796942206"/>
          <c:w val="0.22227090565292243"/>
          <c:h val="0.237454766823348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0.70094</cdr:x>
      <cdr:y>0.81306</cdr:y>
    </cdr:from>
    <cdr:to>
      <cdr:x>0.97719</cdr:x>
      <cdr:y>0.93189</cdr:y>
    </cdr:to>
    <cdr:sp macro="" textlink="">
      <cdr:nvSpPr>
        <cdr:cNvPr id="2" name="TextBox 5"/>
        <cdr:cNvSpPr txBox="1"/>
      </cdr:nvSpPr>
      <cdr:spPr>
        <a:xfrm xmlns:a="http://schemas.openxmlformats.org/drawingml/2006/main">
          <a:off x="3178431" y="1796691"/>
          <a:ext cx="1252676" cy="262606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3"/>
        </a:solidFill>
        <a:ln xmlns:a="http://schemas.openxmlformats.org/drawingml/2006/main" w="12700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IE" sz="1400" b="1">
              <a:solidFill>
                <a:schemeClr val="tx2"/>
              </a:solidFill>
            </a:rPr>
            <a:t>Total: 4,742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0.67943</cdr:x>
      <cdr:y>0.82955</cdr:y>
    </cdr:from>
    <cdr:to>
      <cdr:x>0.96969</cdr:x>
      <cdr:y>0.9392</cdr:y>
    </cdr:to>
    <cdr:sp macro="" textlink="">
      <cdr:nvSpPr>
        <cdr:cNvPr id="2" name="TextBox 5"/>
        <cdr:cNvSpPr txBox="1"/>
      </cdr:nvSpPr>
      <cdr:spPr>
        <a:xfrm xmlns:a="http://schemas.openxmlformats.org/drawingml/2006/main">
          <a:off x="2888896" y="2078086"/>
          <a:ext cx="1234184" cy="274671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3"/>
        </a:solidFill>
        <a:ln xmlns:a="http://schemas.openxmlformats.org/drawingml/2006/main" w="12700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IE" sz="1400" b="1">
              <a:solidFill>
                <a:schemeClr val="tx2"/>
              </a:solidFill>
            </a:rPr>
            <a:t>Total: 202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Date xmlns="693c07fb-59b0-4a0a-b91c-85767d96f865">2016-06-16T22:00:00+00:00</Publication_x0020_Date>
    <Comment xmlns="693c07fb-59b0-4a0a-b91c-85767d96f865">MEMO accompanying the results of the CEF</Comment>
    <Unit xmlns="693c07fb-59b0-4a0a-b91c-85767d96f865">SPP1</Unit>
    <_dlc_ExpireDateSaved xmlns="http://schemas.microsoft.com/sharepoint/v3" xsi:nil="true"/>
    <_dlc_ExpireDate xmlns="http://schemas.microsoft.com/sharepoint/v3">2016-07-01T11:57:31+00:00</_dlc_Expire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96C596C4D3FD404FB488432A409B37B7|-2132270969" UniqueId="c25689a3-3c57-4ee8-a7f1-b0a31fd7943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15</number>
                  <property>Created</property>
                  <propertyId>8c06beca-0777-48f7-91c7-6da68bc07b69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596C4D3FD404FB488432A409B37B7" ma:contentTypeVersion="10" ma:contentTypeDescription="Create a new document." ma:contentTypeScope="" ma:versionID="d440ce069adabcebb7116b5e170f75cf">
  <xsd:schema xmlns:xsd="http://www.w3.org/2001/XMLSchema" xmlns:xs="http://www.w3.org/2001/XMLSchema" xmlns:p="http://schemas.microsoft.com/office/2006/metadata/properties" xmlns:ns1="http://schemas.microsoft.com/sharepoint/v3" xmlns:ns2="693c07fb-59b0-4a0a-b91c-85767d96f865" targetNamespace="http://schemas.microsoft.com/office/2006/metadata/properties" ma:root="true" ma:fieldsID="17342126f655654ed951a8be61ec186f" ns1:_="" ns2:_="">
    <xsd:import namespace="http://schemas.microsoft.com/sharepoint/v3"/>
    <xsd:import namespace="693c07fb-59b0-4a0a-b91c-85767d96f865"/>
    <xsd:element name="properties">
      <xsd:complexType>
        <xsd:sequence>
          <xsd:element name="documentManagement">
            <xsd:complexType>
              <xsd:all>
                <xsd:element ref="ns2:Publication_x0020_Date"/>
                <xsd:element ref="ns2:Unit"/>
                <xsd:element ref="ns2:Comment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c07fb-59b0-4a0a-b91c-85767d96f865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3" ma:displayName="Publication Date" ma:format="DateOnly" ma:internalName="Publication_x0020_Date">
      <xsd:simpleType>
        <xsd:restriction base="dms:DateTime"/>
      </xsd:simpleType>
    </xsd:element>
    <xsd:element name="Unit" ma:index="4" ma:displayName="Unit" ma:format="Dropdown" ma:internalName="Unit">
      <xsd:simpleType>
        <xsd:restriction base="dms:Choice">
          <xsd:enumeration value="P&amp;C"/>
          <xsd:enumeration value="SPP1"/>
          <xsd:enumeration value="SPP2"/>
          <xsd:enumeration value="SPP3"/>
        </xsd:restriction>
      </xsd:simpleType>
    </xsd:element>
    <xsd:element name="Comment" ma:index="5" nillable="true" ma:displayName="Comment" ma:description="Additional info (embargo, language versions)" ma:internalName="Commen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3D038-F507-4162-8CE7-213915A006E4}">
  <ds:schemaRefs>
    <ds:schemaRef ds:uri="http://schemas.microsoft.com/office/2006/metadata/properties"/>
    <ds:schemaRef ds:uri="http://schemas.microsoft.com/office/infopath/2007/PartnerControls"/>
    <ds:schemaRef ds:uri="693c07fb-59b0-4a0a-b91c-85767d96f8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8F21FA-B2DC-46B6-A6C4-1719FFA7C5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634EF4-0BF3-49E9-823B-AB2FDE83488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79376EC-6B90-414F-9B99-7CB4583A31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FB987D-C2F0-45A9-943E-3B92F8D27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3c07fb-59b0-4a0a-b91c-85767d96f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Nvi_MEMO.dot</Template>
  <TotalTime>3</TotalTime>
  <Pages>3</Pages>
  <Words>515</Words>
  <Characters>2941</Characters>
  <Application>Microsoft Office Word</Application>
  <DocSecurity>0</DocSecurity>
  <Lines>122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Commission</vt:lpstr>
    </vt:vector>
  </TitlesOfParts>
  <Company>European Commission</Company>
  <LinksUpToDate>false</LinksUpToDate>
  <CharactersWithSpaces>3389</CharactersWithSpaces>
  <SharedDoc>false</SharedDoc>
  <HLinks>
    <vt:vector size="12" baseType="variant">
      <vt:variant>
        <vt:i4>5570685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https://ec.europa.eu/inea/sites/inea/files/general_faq_batch_7_final_full.pdf</vt:lpwstr>
      </vt:variant>
      <vt:variant>
        <vt:lpwstr/>
      </vt:variant>
      <vt:variant>
        <vt:i4>2949167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https://ec.europa.eu/inea/connecting-europe-facility/cef-transport/apply-funding/2015-cef-transport-calls-proposals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Commission</dc:title>
  <dc:subject>MEMO CEF</dc:subject>
  <dc:creator>PERIER Alexis (COMM)</dc:creator>
  <cp:lastModifiedBy>FALCO Francesco (CINEA)</cp:lastModifiedBy>
  <cp:revision>3</cp:revision>
  <cp:lastPrinted>2024-03-21T17:47:00Z</cp:lastPrinted>
  <dcterms:created xsi:type="dcterms:W3CDTF">2024-03-27T10:16:00Z</dcterms:created>
  <dcterms:modified xsi:type="dcterms:W3CDTF">2024-03-27T13:16:00Z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0x01010096C596C4D3FD404FB488432A409B37B7</vt:lpwstr>
  </property>
  <property fmtid="{D5CDD505-2E9C-101B-9397-08002B2CF9AE}" pid="4" name="_dlc_policyId">
    <vt:lpwstr>0x01010096C596C4D3FD404FB488432A409B37B7|-2132270969</vt:lpwstr>
  </property>
  <property fmtid="{D5CDD505-2E9C-101B-9397-08002B2CF9AE}" pid="5" name="ItemRetentionFormula">
    <vt:lpwstr>&lt;formula id="Microsoft.Office.RecordsManagement.PolicyFeatures.Expiration.Formula.BuiltIn"&gt;&lt;number&gt;15&lt;/number&gt;&lt;property&gt;Created&lt;/property&gt;&lt;propertyId&gt;8c06beca-0777-48f7-91c7-6da68bc07b69&lt;/propertyId&gt;&lt;period&gt;days&lt;/period&gt;&lt;/formula&gt;</vt:lpwstr>
  </property>
  <property fmtid="{D5CDD505-2E9C-101B-9397-08002B2CF9AE}" pid="6" name="MSIP_Label_6bd9ddd1-4d20-43f6-abfa-fc3c07406f94_Enabled">
    <vt:lpwstr>true</vt:lpwstr>
  </property>
  <property fmtid="{D5CDD505-2E9C-101B-9397-08002B2CF9AE}" pid="7" name="MSIP_Label_6bd9ddd1-4d20-43f6-abfa-fc3c07406f94_SetDate">
    <vt:lpwstr>2023-08-23T13:43:11Z</vt:lpwstr>
  </property>
  <property fmtid="{D5CDD505-2E9C-101B-9397-08002B2CF9AE}" pid="8" name="MSIP_Label_6bd9ddd1-4d20-43f6-abfa-fc3c07406f94_Method">
    <vt:lpwstr>Standard</vt:lpwstr>
  </property>
  <property fmtid="{D5CDD505-2E9C-101B-9397-08002B2CF9AE}" pid="9" name="MSIP_Label_6bd9ddd1-4d20-43f6-abfa-fc3c07406f94_Name">
    <vt:lpwstr>Commission Use</vt:lpwstr>
  </property>
  <property fmtid="{D5CDD505-2E9C-101B-9397-08002B2CF9AE}" pid="10" name="MSIP_Label_6bd9ddd1-4d20-43f6-abfa-fc3c07406f94_SiteId">
    <vt:lpwstr>b24c8b06-522c-46fe-9080-70926f8dddb1</vt:lpwstr>
  </property>
  <property fmtid="{D5CDD505-2E9C-101B-9397-08002B2CF9AE}" pid="11" name="MSIP_Label_6bd9ddd1-4d20-43f6-abfa-fc3c07406f94_ActionId">
    <vt:lpwstr>861c1d4b-da05-4723-be46-01981f320dae</vt:lpwstr>
  </property>
  <property fmtid="{D5CDD505-2E9C-101B-9397-08002B2CF9AE}" pid="12" name="MSIP_Label_6bd9ddd1-4d20-43f6-abfa-fc3c07406f94_ContentBits">
    <vt:lpwstr>0</vt:lpwstr>
  </property>
</Properties>
</file>