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6"/>
        </w:rPr>
        <w:alias w:val="EC Header - Standard"/>
        <w:tag w:val="A4pCgmOjXaoPaysOY21Ij7-5QkCVxYFQ4ANGFaoRKN4I2"/>
        <w:id w:val="1171913877"/>
      </w:sdtPr>
      <w:sdtEndPr/>
      <w:sdtContent>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tr w:rsidR="00D263B2" w14:paraId="5E564F9C" w14:textId="77777777">
            <w:trPr>
              <w:cantSplit/>
            </w:trPr>
            <w:tc>
              <w:tcPr>
                <w:tcW w:w="2400" w:type="dxa"/>
              </w:tcPr>
              <w:p w14:paraId="7701E923" w14:textId="77777777" w:rsidR="00D263B2" w:rsidRDefault="00690327">
                <w:pPr>
                  <w:pStyle w:val="ZFlag"/>
                </w:pPr>
                <w:r>
                  <w:rPr>
                    <w:noProof/>
                  </w:rPr>
                  <w:drawing>
                    <wp:inline distT="0" distB="0" distL="0" distR="0" wp14:anchorId="7654E903" wp14:editId="327C21CF">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F59E02C" w14:textId="77777777" w:rsidR="00D263B2" w:rsidRDefault="00690327">
                <w:pPr>
                  <w:pStyle w:val="ZCom"/>
                  <w:spacing w:before="0"/>
                  <w:rPr>
                    <w:caps/>
                  </w:rPr>
                </w:pPr>
                <w:sdt>
                  <w:sdtPr>
                    <w:rPr>
                      <w:caps/>
                    </w:rPr>
                    <w:id w:val="1204137504"/>
                    <w:dataBinding w:xpath="/Author/OrgaEntity1/HeadLine1" w:storeItemID="{83D59316-02CD-4BC8-AAB6-9C5851D02110}"/>
                    <w:text w:multiLine="1"/>
                  </w:sdtPr>
                  <w:sdtEndPr/>
                  <w:sdtContent>
                    <w:r w:rsidR="004F11A2">
                      <w:rPr>
                        <w:caps/>
                      </w:rPr>
                      <w:t>EUROPEAN CLIMATE, INFRASTRUCTURE AND</w:t>
                    </w:r>
                  </w:sdtContent>
                </w:sdt>
              </w:p>
              <w:p w14:paraId="55F9C695" w14:textId="77777777" w:rsidR="00D263B2" w:rsidRDefault="00690327">
                <w:pPr>
                  <w:pStyle w:val="ZCom"/>
                  <w:spacing w:before="0"/>
                  <w:rPr>
                    <w:caps/>
                  </w:rPr>
                </w:pPr>
                <w:sdt>
                  <w:sdtPr>
                    <w:rPr>
                      <w:caps/>
                    </w:rPr>
                    <w:id w:val="1527824948"/>
                    <w:dataBinding w:xpath="/Author/OrgaEntity1/HeadLine2" w:storeItemID="{83D59316-02CD-4BC8-AAB6-9C5851D02110}"/>
                    <w:text w:multiLine="1"/>
                  </w:sdtPr>
                  <w:sdtEndPr/>
                  <w:sdtContent>
                    <w:r w:rsidR="004F11A2">
                      <w:rPr>
                        <w:caps/>
                      </w:rPr>
                      <w:t>ENVIRONMENT EXECUTIVE AGENCY (CINEA)</w:t>
                    </w:r>
                  </w:sdtContent>
                </w:sdt>
              </w:p>
              <w:p w14:paraId="6A4430B9" w14:textId="77777777" w:rsidR="00D263B2" w:rsidRDefault="00D263B2">
                <w:pPr>
                  <w:pStyle w:val="ZDGName"/>
                </w:pPr>
              </w:p>
              <w:p w14:paraId="550E06F1" w14:textId="77777777" w:rsidR="00D263B2" w:rsidRDefault="00690327">
                <w:pPr>
                  <w:pStyle w:val="ZDGName"/>
                </w:pPr>
                <w:sdt>
                  <w:sdtPr>
                    <w:id w:val="-1379311557"/>
                    <w:dataBinding w:xpath="/Author/OrgaEntity2/HeadLine1" w:storeItemID="{83D59316-02CD-4BC8-AAB6-9C5851D02110}"/>
                    <w:text w:multiLine="1"/>
                  </w:sdtPr>
                  <w:sdtEndPr/>
                  <w:sdtContent>
                    <w:r w:rsidR="004F11A2">
                      <w:t>CINEA.D - Natural resources, climate, sustainable blue economy and clean energy</w:t>
                    </w:r>
                  </w:sdtContent>
                </w:sdt>
              </w:p>
              <w:p w14:paraId="162D2E4F" w14:textId="77777777" w:rsidR="00D263B2" w:rsidRDefault="00690327">
                <w:pPr>
                  <w:pStyle w:val="ZDGName"/>
                  <w:rPr>
                    <w:b/>
                  </w:rPr>
                </w:pPr>
                <w:sdt>
                  <w:sdtPr>
                    <w:rPr>
                      <w:b/>
                    </w:rPr>
                    <w:id w:val="239915911"/>
                    <w:dataBinding w:xpath="/Author/OrgaEntity3/HeadLine1" w:storeItemID="{83D59316-02CD-4BC8-AAB6-9C5851D02110}"/>
                    <w:text w:multiLine="1"/>
                  </w:sdtPr>
                  <w:sdtEndPr/>
                  <w:sdtContent>
                    <w:r w:rsidR="004F11A2">
                      <w:rPr>
                        <w:b/>
                      </w:rPr>
                      <w:t>D.3 - Sustainable Blue Economy</w:t>
                    </w:r>
                  </w:sdtContent>
                </w:sdt>
              </w:p>
            </w:tc>
          </w:tr>
        </w:tbl>
      </w:sdtContent>
    </w:sdt>
    <w:p w14:paraId="0713F0BE" w14:textId="123450A0" w:rsidR="00B73AD0" w:rsidRPr="00004FD4" w:rsidRDefault="00B73AD0" w:rsidP="00B73AD0">
      <w:pPr>
        <w:shd w:val="clear" w:color="auto" w:fill="FFFFFF"/>
        <w:spacing w:before="240" w:after="120"/>
        <w:jc w:val="center"/>
        <w:rPr>
          <w:b/>
          <w:color w:val="000000"/>
          <w:spacing w:val="-11"/>
          <w:sz w:val="28"/>
          <w:szCs w:val="28"/>
        </w:rPr>
      </w:pPr>
      <w:sdt>
        <w:sdtPr>
          <w:rPr>
            <w:b/>
            <w:color w:val="000000"/>
            <w:spacing w:val="-11"/>
            <w:sz w:val="28"/>
            <w:szCs w:val="28"/>
            <w:lang w:eastAsia="en-US"/>
          </w:rPr>
          <w:alias w:val="Note for - Note for the File"/>
          <w:tag w:val="u7uN5kfMW4zFYuXg0ziI1D-E4pEJMn25qAH87bmWIf9S1"/>
          <w:id w:val="-548911106"/>
          <w:dataBinding w:xpath="/Texts/NoteFile" w:storeItemID="{4EF90DE6-88B6-4264-9629-4D8DFDFE87D2}"/>
          <w:text w:multiLine="1"/>
        </w:sdtPr>
        <w:sdtContent>
          <w:r w:rsidRPr="00B73AD0">
            <w:rPr>
              <w:b/>
              <w:color w:val="000000"/>
              <w:spacing w:val="-11"/>
              <w:sz w:val="28"/>
              <w:szCs w:val="28"/>
              <w:lang w:eastAsia="en-US"/>
            </w:rPr>
            <w:t>Data Protection Notice</w:t>
          </w:r>
          <w:r w:rsidRPr="00B73AD0">
            <w:rPr>
              <w:smallCaps/>
              <w:color w:val="000000"/>
              <w:spacing w:val="-11"/>
              <w:sz w:val="28"/>
              <w:szCs w:val="28"/>
              <w:lang w:eastAsia="en-US"/>
            </w:rPr>
            <w:br/>
          </w:r>
        </w:sdtContent>
      </w:sdt>
      <w:r w:rsidR="00760A89" w:rsidRPr="00760A89">
        <w:rPr>
          <w:rFonts w:eastAsia="Calibri"/>
          <w:snapToGrid w:val="0"/>
          <w:color w:val="0070C0"/>
          <w:szCs w:val="24"/>
          <w:lang w:eastAsia="en-US"/>
        </w:rPr>
        <w:t>(</w:t>
      </w:r>
      <w:r w:rsidR="00897E27" w:rsidRPr="00897E27">
        <w:rPr>
          <w:rFonts w:eastAsia="Calibri"/>
          <w:snapToGrid w:val="0"/>
          <w:color w:val="0070C0"/>
          <w:szCs w:val="24"/>
          <w:lang w:eastAsia="en-US"/>
        </w:rPr>
        <w:t xml:space="preserve">insert </w:t>
      </w:r>
      <w:r w:rsidRPr="00897E27">
        <w:rPr>
          <w:rFonts w:eastAsia="Calibri"/>
          <w:snapToGrid w:val="0"/>
          <w:color w:val="0070C0"/>
          <w:szCs w:val="24"/>
          <w:lang w:eastAsia="en-US"/>
        </w:rPr>
        <w:t>name of the personal data processing activity</w:t>
      </w:r>
      <w:r w:rsidR="00760A89">
        <w:rPr>
          <w:rFonts w:eastAsia="Calibri"/>
          <w:snapToGrid w:val="0"/>
          <w:color w:val="0070C0"/>
          <w:szCs w:val="24"/>
          <w:lang w:eastAsia="en-US"/>
        </w:rPr>
        <w:t>)</w:t>
      </w:r>
    </w:p>
    <w:p w14:paraId="4C10F0A5" w14:textId="77777777" w:rsidR="00897E27" w:rsidRDefault="00897E27" w:rsidP="00B73AD0">
      <w:pPr>
        <w:widowControl w:val="0"/>
        <w:rPr>
          <w:rFonts w:eastAsia="Calibri"/>
          <w:snapToGrid w:val="0"/>
          <w:color w:val="0070C0"/>
          <w:szCs w:val="24"/>
          <w:lang w:eastAsia="en-US"/>
        </w:rPr>
      </w:pPr>
    </w:p>
    <w:p w14:paraId="74D69559" w14:textId="158FE355" w:rsidR="00B73AD0" w:rsidRPr="00B73AD0" w:rsidRDefault="00B73AD0" w:rsidP="00B73AD0">
      <w:pPr>
        <w:widowControl w:val="0"/>
        <w:rPr>
          <w:rFonts w:eastAsia="Calibri"/>
          <w:snapToGrid w:val="0"/>
          <w:color w:val="0070C0"/>
          <w:szCs w:val="24"/>
          <w:lang w:eastAsia="en-US"/>
        </w:rPr>
      </w:pPr>
      <w:r w:rsidRPr="00B73AD0">
        <w:rPr>
          <w:rFonts w:eastAsia="Calibri"/>
          <w:snapToGrid w:val="0"/>
          <w:color w:val="0070C0"/>
          <w:szCs w:val="24"/>
          <w:lang w:eastAsia="en-US"/>
        </w:rPr>
        <w:t>General instructions:</w:t>
      </w:r>
    </w:p>
    <w:p w14:paraId="4919A3B3" w14:textId="204A033F" w:rsidR="001626B6" w:rsidRDefault="001626B6" w:rsidP="00B73AD0">
      <w:pPr>
        <w:widowControl w:val="0"/>
        <w:numPr>
          <w:ilvl w:val="0"/>
          <w:numId w:val="28"/>
        </w:numPr>
        <w:spacing w:after="0"/>
        <w:rPr>
          <w:rFonts w:eastAsia="Calibri"/>
          <w:snapToGrid w:val="0"/>
          <w:color w:val="0070C0"/>
          <w:szCs w:val="24"/>
          <w:lang w:eastAsia="en-US"/>
        </w:rPr>
      </w:pPr>
      <w:r>
        <w:rPr>
          <w:rFonts w:eastAsia="Calibri"/>
          <w:snapToGrid w:val="0"/>
          <w:color w:val="0070C0"/>
          <w:szCs w:val="24"/>
          <w:lang w:eastAsia="en-US"/>
        </w:rPr>
        <w:t xml:space="preserve">This template provides the general structure of a data protection notice. It must be customised by the contractor depending on the activity carried out on behalf of the Agency and discussed with the Contract Manager in CINEA before its use. </w:t>
      </w:r>
    </w:p>
    <w:p w14:paraId="672C6147" w14:textId="524556A4" w:rsidR="00B73AD0" w:rsidRPr="00B73AD0" w:rsidRDefault="00B73AD0" w:rsidP="00B73AD0">
      <w:pPr>
        <w:widowControl w:val="0"/>
        <w:numPr>
          <w:ilvl w:val="0"/>
          <w:numId w:val="28"/>
        </w:numPr>
        <w:spacing w:after="0"/>
        <w:rPr>
          <w:rFonts w:eastAsia="Calibri"/>
          <w:snapToGrid w:val="0"/>
          <w:color w:val="0070C0"/>
          <w:szCs w:val="24"/>
          <w:lang w:eastAsia="en-US"/>
        </w:rPr>
      </w:pPr>
      <w:r w:rsidRPr="00B73AD0">
        <w:rPr>
          <w:rFonts w:eastAsia="Calibri"/>
          <w:snapToGrid w:val="0"/>
          <w:color w:val="0070C0"/>
          <w:szCs w:val="24"/>
          <w:lang w:eastAsia="en-US"/>
        </w:rPr>
        <w:t xml:space="preserve">The text in </w:t>
      </w:r>
      <w:r w:rsidRPr="00B73AD0">
        <w:rPr>
          <w:rFonts w:eastAsia="Calibri"/>
          <w:snapToGrid w:val="0"/>
          <w:szCs w:val="24"/>
          <w:lang w:eastAsia="en-US"/>
        </w:rPr>
        <w:t>black</w:t>
      </w:r>
      <w:r w:rsidRPr="00B73AD0">
        <w:rPr>
          <w:rFonts w:eastAsia="Calibri"/>
          <w:snapToGrid w:val="0"/>
          <w:color w:val="0070C0"/>
          <w:szCs w:val="24"/>
          <w:lang w:eastAsia="en-US"/>
        </w:rPr>
        <w:t xml:space="preserve"> is a standard text</w:t>
      </w:r>
      <w:r>
        <w:rPr>
          <w:rFonts w:eastAsia="Calibri"/>
          <w:snapToGrid w:val="0"/>
          <w:color w:val="0070C0"/>
          <w:szCs w:val="24"/>
          <w:lang w:eastAsia="en-US"/>
        </w:rPr>
        <w:t>.</w:t>
      </w:r>
      <w:r w:rsidRPr="00B73AD0">
        <w:rPr>
          <w:rFonts w:eastAsia="Calibri"/>
          <w:snapToGrid w:val="0"/>
          <w:color w:val="0070C0"/>
          <w:szCs w:val="24"/>
          <w:lang w:eastAsia="en-US"/>
        </w:rPr>
        <w:t xml:space="preserve"> </w:t>
      </w:r>
    </w:p>
    <w:p w14:paraId="2C9CDB01" w14:textId="72F4F5C5" w:rsidR="00B73AD0" w:rsidRPr="00B73AD0" w:rsidRDefault="00B73AD0" w:rsidP="00B73AD0">
      <w:pPr>
        <w:widowControl w:val="0"/>
        <w:numPr>
          <w:ilvl w:val="0"/>
          <w:numId w:val="28"/>
        </w:numPr>
        <w:spacing w:after="0"/>
        <w:rPr>
          <w:rFonts w:eastAsia="Calibri"/>
          <w:snapToGrid w:val="0"/>
          <w:color w:val="0070C0"/>
          <w:szCs w:val="24"/>
          <w:lang w:eastAsia="en-US"/>
        </w:rPr>
      </w:pPr>
      <w:r w:rsidRPr="00B73AD0">
        <w:rPr>
          <w:rFonts w:eastAsia="Calibri"/>
          <w:snapToGrid w:val="0"/>
          <w:color w:val="0070C0"/>
          <w:szCs w:val="24"/>
          <w:lang w:eastAsia="en-US"/>
        </w:rPr>
        <w:t xml:space="preserve">The text in blue </w:t>
      </w:r>
      <w:r w:rsidR="001626B6">
        <w:rPr>
          <w:rFonts w:eastAsia="Calibri"/>
          <w:snapToGrid w:val="0"/>
          <w:color w:val="0070C0"/>
          <w:szCs w:val="24"/>
          <w:lang w:eastAsia="en-US"/>
        </w:rPr>
        <w:t>is</w:t>
      </w:r>
      <w:r w:rsidRPr="00B73AD0">
        <w:rPr>
          <w:rFonts w:eastAsia="Calibri"/>
          <w:snapToGrid w:val="0"/>
          <w:color w:val="0070C0"/>
          <w:szCs w:val="24"/>
          <w:lang w:eastAsia="en-US"/>
        </w:rPr>
        <w:t xml:space="preserve"> instructions only: </w:t>
      </w:r>
      <w:r w:rsidR="001626B6">
        <w:rPr>
          <w:rFonts w:eastAsia="Calibri"/>
          <w:snapToGrid w:val="0"/>
          <w:color w:val="0070C0"/>
          <w:szCs w:val="24"/>
          <w:lang w:eastAsia="en-US"/>
        </w:rPr>
        <w:t>it</w:t>
      </w:r>
      <w:r w:rsidRPr="00B73AD0">
        <w:rPr>
          <w:rFonts w:eastAsia="Calibri"/>
          <w:snapToGrid w:val="0"/>
          <w:color w:val="0070C0"/>
          <w:szCs w:val="24"/>
          <w:lang w:eastAsia="en-US"/>
        </w:rPr>
        <w:t xml:space="preserve"> must be deleted once read and before the finalisation of the document</w:t>
      </w:r>
      <w:r w:rsidR="00897E27">
        <w:rPr>
          <w:rFonts w:eastAsia="Calibri"/>
          <w:snapToGrid w:val="0"/>
          <w:color w:val="0070C0"/>
          <w:szCs w:val="24"/>
          <w:lang w:eastAsia="en-US"/>
        </w:rPr>
        <w:t>.</w:t>
      </w:r>
      <w:r w:rsidRPr="00B73AD0">
        <w:rPr>
          <w:rFonts w:eastAsia="Calibri"/>
          <w:snapToGrid w:val="0"/>
          <w:color w:val="0070C0"/>
          <w:szCs w:val="24"/>
          <w:lang w:eastAsia="en-US"/>
        </w:rPr>
        <w:t xml:space="preserve">  </w:t>
      </w:r>
    </w:p>
    <w:p w14:paraId="562C4E41" w14:textId="2B83202A" w:rsidR="00C664D8" w:rsidRDefault="00B73AD0" w:rsidP="00B73AD0">
      <w:pPr>
        <w:widowControl w:val="0"/>
        <w:numPr>
          <w:ilvl w:val="0"/>
          <w:numId w:val="28"/>
        </w:numPr>
        <w:spacing w:after="0"/>
        <w:rPr>
          <w:rFonts w:eastAsia="Calibri"/>
          <w:snapToGrid w:val="0"/>
          <w:color w:val="0070C0"/>
          <w:szCs w:val="24"/>
          <w:lang w:eastAsia="en-US"/>
        </w:rPr>
      </w:pPr>
      <w:r w:rsidRPr="00B73AD0">
        <w:rPr>
          <w:rFonts w:eastAsia="Calibri"/>
          <w:snapToGrid w:val="0"/>
          <w:color w:val="0070C0"/>
          <w:szCs w:val="24"/>
          <w:lang w:eastAsia="en-US"/>
        </w:rPr>
        <w:t>Options [</w:t>
      </w:r>
      <w:r w:rsidRPr="00B73AD0">
        <w:rPr>
          <w:rFonts w:eastAsia="Calibri"/>
          <w:iCs/>
          <w:snapToGrid w:val="0"/>
          <w:color w:val="0070C0"/>
          <w:szCs w:val="24"/>
          <w:lang w:eastAsia="en-US"/>
        </w:rPr>
        <w:t>in square brackets</w:t>
      </w:r>
      <w:r w:rsidRPr="00B73AD0">
        <w:rPr>
          <w:rFonts w:eastAsia="Calibri"/>
          <w:snapToGrid w:val="0"/>
          <w:color w:val="0070C0"/>
          <w:szCs w:val="24"/>
          <w:lang w:eastAsia="en-US"/>
        </w:rPr>
        <w:t>] which are not used are to be deleted</w:t>
      </w:r>
      <w:r w:rsidR="00897E27">
        <w:rPr>
          <w:rFonts w:eastAsia="Calibri"/>
          <w:snapToGrid w:val="0"/>
          <w:color w:val="0070C0"/>
          <w:szCs w:val="24"/>
          <w:lang w:eastAsia="en-US"/>
        </w:rPr>
        <w:t>. Square brackets are removed if the option is maintained.</w:t>
      </w:r>
    </w:p>
    <w:p w14:paraId="188A72A8" w14:textId="69C9861F" w:rsidR="00B73AD0" w:rsidRPr="00B73AD0" w:rsidRDefault="00C664D8" w:rsidP="00B73AD0">
      <w:pPr>
        <w:widowControl w:val="0"/>
        <w:numPr>
          <w:ilvl w:val="0"/>
          <w:numId w:val="28"/>
        </w:numPr>
        <w:spacing w:after="0"/>
        <w:rPr>
          <w:rFonts w:eastAsia="Calibri"/>
          <w:snapToGrid w:val="0"/>
          <w:color w:val="0070C0"/>
          <w:szCs w:val="24"/>
          <w:lang w:eastAsia="en-US"/>
        </w:rPr>
      </w:pPr>
      <w:r>
        <w:rPr>
          <w:rFonts w:eastAsia="Calibri"/>
          <w:snapToGrid w:val="0"/>
          <w:color w:val="0070C0"/>
          <w:szCs w:val="24"/>
          <w:lang w:eastAsia="en-US"/>
        </w:rPr>
        <w:t xml:space="preserve">Parts in </w:t>
      </w:r>
      <w:r w:rsidRPr="00C664D8">
        <w:rPr>
          <w:rFonts w:eastAsia="Calibri"/>
          <w:snapToGrid w:val="0"/>
          <w:color w:val="0070C0"/>
          <w:szCs w:val="24"/>
          <w:highlight w:val="lightGray"/>
          <w:lang w:eastAsia="en-US"/>
        </w:rPr>
        <w:t>grey</w:t>
      </w:r>
      <w:r>
        <w:rPr>
          <w:rFonts w:eastAsia="Calibri"/>
          <w:snapToGrid w:val="0"/>
          <w:color w:val="0070C0"/>
          <w:szCs w:val="24"/>
          <w:lang w:eastAsia="en-US"/>
        </w:rPr>
        <w:t xml:space="preserve"> need to be filled in.</w:t>
      </w:r>
      <w:r w:rsidR="00897E27">
        <w:rPr>
          <w:rFonts w:eastAsia="Calibri"/>
          <w:snapToGrid w:val="0"/>
          <w:color w:val="0070C0"/>
          <w:szCs w:val="24"/>
          <w:lang w:eastAsia="en-US"/>
        </w:rPr>
        <w:t xml:space="preserve"> </w:t>
      </w:r>
    </w:p>
    <w:p w14:paraId="125D60D7" w14:textId="77777777" w:rsidR="00B73AD0" w:rsidRPr="00B73AD0" w:rsidRDefault="00B73AD0" w:rsidP="00B73AD0">
      <w:pPr>
        <w:spacing w:after="120"/>
        <w:jc w:val="center"/>
        <w:rPr>
          <w:b/>
          <w:szCs w:val="24"/>
          <w:lang w:eastAsia="en-US"/>
        </w:rPr>
      </w:pPr>
    </w:p>
    <w:p w14:paraId="2358C85D" w14:textId="77777777" w:rsidR="00B73AD0" w:rsidRPr="00B73AD0" w:rsidRDefault="00B73AD0" w:rsidP="00B73AD0">
      <w:pPr>
        <w:spacing w:after="120"/>
        <w:rPr>
          <w:szCs w:val="24"/>
          <w:lang w:eastAsia="en-GB"/>
        </w:rPr>
      </w:pPr>
      <w:r w:rsidRPr="00B73AD0">
        <w:rPr>
          <w:szCs w:val="24"/>
          <w:lang w:eastAsia="en-GB"/>
        </w:rPr>
        <w:t>In accordance with Regulation (EU) 2018/1725 of 23 October 2018 on data protection (hereinafter the Regulation), the European Climate, Infrastructure and Environment Executive Agency (hereafter CINEA) collects your personal data only to the extent necessary to fulfil the precise purpose related to its tasks.</w:t>
      </w:r>
    </w:p>
    <w:p w14:paraId="200B4A5D" w14:textId="77777777" w:rsidR="00B73AD0" w:rsidRPr="00B73AD0" w:rsidRDefault="00B73AD0" w:rsidP="00B73AD0">
      <w:pPr>
        <w:numPr>
          <w:ilvl w:val="0"/>
          <w:numId w:val="23"/>
        </w:numPr>
        <w:spacing w:after="0"/>
        <w:rPr>
          <w:szCs w:val="24"/>
          <w:lang w:eastAsia="en-GB"/>
        </w:rPr>
      </w:pPr>
      <w:r w:rsidRPr="00B73AD0">
        <w:rPr>
          <w:szCs w:val="24"/>
          <w:lang w:eastAsia="en-GB"/>
        </w:rPr>
        <w:t xml:space="preserve">The </w:t>
      </w:r>
      <w:r w:rsidRPr="00B73AD0">
        <w:rPr>
          <w:b/>
          <w:szCs w:val="24"/>
          <w:lang w:eastAsia="en-GB"/>
        </w:rPr>
        <w:t>controller</w:t>
      </w:r>
      <w:r w:rsidRPr="00B73AD0">
        <w:rPr>
          <w:szCs w:val="24"/>
          <w:lang w:eastAsia="en-GB"/>
        </w:rPr>
        <w:t xml:space="preserve"> is CINEA:</w:t>
      </w:r>
    </w:p>
    <w:p w14:paraId="6C309C90" w14:textId="77777777" w:rsidR="00B73AD0" w:rsidRPr="00B73AD0" w:rsidRDefault="00B73AD0" w:rsidP="00B73AD0">
      <w:pPr>
        <w:spacing w:before="4" w:after="120"/>
        <w:ind w:left="720"/>
        <w:contextualSpacing/>
        <w:rPr>
          <w:i/>
          <w:szCs w:val="24"/>
          <w:lang w:eastAsia="en-US"/>
        </w:rPr>
      </w:pPr>
      <w:r w:rsidRPr="00B73AD0">
        <w:rPr>
          <w:i/>
          <w:szCs w:val="24"/>
          <w:lang w:eastAsia="en-US"/>
        </w:rPr>
        <w:t>The Head of Unit</w:t>
      </w:r>
    </w:p>
    <w:p w14:paraId="1FF324CB" w14:textId="77777777" w:rsidR="00B73AD0" w:rsidRPr="00B73AD0" w:rsidRDefault="00B73AD0" w:rsidP="00B73AD0">
      <w:pPr>
        <w:spacing w:before="4" w:after="120"/>
        <w:ind w:left="720"/>
        <w:contextualSpacing/>
        <w:rPr>
          <w:i/>
          <w:szCs w:val="24"/>
          <w:lang w:val="en-US" w:eastAsia="en-US"/>
        </w:rPr>
      </w:pPr>
      <w:r w:rsidRPr="00B73AD0">
        <w:rPr>
          <w:i/>
          <w:szCs w:val="24"/>
          <w:lang w:val="en-US" w:eastAsia="en-US"/>
        </w:rPr>
        <w:t xml:space="preserve">Unit D.3 – Sustainable Blue Economy </w:t>
      </w:r>
    </w:p>
    <w:p w14:paraId="4DD7498D" w14:textId="77777777" w:rsidR="00B73AD0" w:rsidRPr="00B73AD0" w:rsidRDefault="00B73AD0" w:rsidP="00B73AD0">
      <w:pPr>
        <w:spacing w:before="4" w:after="120"/>
        <w:ind w:firstLine="720"/>
        <w:contextualSpacing/>
        <w:rPr>
          <w:i/>
          <w:szCs w:val="24"/>
          <w:lang w:val="en-IE" w:eastAsia="en-US"/>
        </w:rPr>
      </w:pPr>
      <w:r w:rsidRPr="00B73AD0">
        <w:rPr>
          <w:i/>
          <w:szCs w:val="24"/>
          <w:lang w:val="en-IE" w:eastAsia="en-US"/>
        </w:rPr>
        <w:t>European Climate, Infrastructure and Environment Executive Agency – CINEA</w:t>
      </w:r>
      <w:r w:rsidRPr="00B73AD0">
        <w:rPr>
          <w:i/>
          <w:szCs w:val="24"/>
          <w:lang w:val="en-IE" w:eastAsia="en-US"/>
        </w:rPr>
        <w:tab/>
      </w:r>
    </w:p>
    <w:p w14:paraId="572D7CD7" w14:textId="77777777" w:rsidR="00B73AD0" w:rsidRPr="00B73AD0" w:rsidRDefault="00B73AD0" w:rsidP="00B73AD0">
      <w:pPr>
        <w:spacing w:before="4" w:after="120"/>
        <w:contextualSpacing/>
        <w:rPr>
          <w:i/>
          <w:szCs w:val="24"/>
          <w:lang w:val="en-IE" w:eastAsia="en-US"/>
        </w:rPr>
      </w:pPr>
      <w:r w:rsidRPr="00B73AD0">
        <w:rPr>
          <w:i/>
          <w:szCs w:val="24"/>
          <w:lang w:val="en-IE" w:eastAsia="en-US"/>
        </w:rPr>
        <w:t xml:space="preserve"> </w:t>
      </w:r>
      <w:r w:rsidRPr="00B73AD0">
        <w:rPr>
          <w:i/>
          <w:szCs w:val="24"/>
          <w:lang w:val="en-IE" w:eastAsia="en-US"/>
        </w:rPr>
        <w:tab/>
        <w:t>W910 5/259</w:t>
      </w:r>
    </w:p>
    <w:p w14:paraId="071B1D0D" w14:textId="77777777" w:rsidR="00B73AD0" w:rsidRPr="00B73AD0" w:rsidRDefault="00B73AD0" w:rsidP="00B73AD0">
      <w:pPr>
        <w:spacing w:before="4" w:after="120"/>
        <w:ind w:left="720"/>
        <w:contextualSpacing/>
        <w:rPr>
          <w:i/>
          <w:szCs w:val="24"/>
          <w:lang w:val="en-IE" w:eastAsia="en-US"/>
        </w:rPr>
      </w:pPr>
      <w:r w:rsidRPr="00B73AD0">
        <w:rPr>
          <w:i/>
          <w:szCs w:val="24"/>
          <w:lang w:val="en-IE" w:eastAsia="en-US"/>
        </w:rPr>
        <w:t>B–1049 Brussels</w:t>
      </w:r>
    </w:p>
    <w:p w14:paraId="557BC331" w14:textId="07F236BC" w:rsidR="00B73AD0" w:rsidRPr="00B73AD0" w:rsidRDefault="00B73AD0" w:rsidP="00B73AD0">
      <w:pPr>
        <w:spacing w:before="4" w:after="120"/>
        <w:ind w:firstLine="720"/>
        <w:rPr>
          <w:i/>
          <w:szCs w:val="24"/>
          <w:lang w:val="en-IE" w:eastAsia="en-US"/>
        </w:rPr>
      </w:pPr>
      <w:r w:rsidRPr="00B73AD0">
        <w:rPr>
          <w:i/>
          <w:szCs w:val="24"/>
          <w:lang w:val="en-IE" w:eastAsia="en-GB"/>
        </w:rPr>
        <w:t xml:space="preserve">Email: </w:t>
      </w:r>
      <w:hyperlink r:id="rId12" w:history="1">
        <w:r w:rsidRPr="00B73AD0">
          <w:rPr>
            <w:i/>
            <w:color w:val="0000FF"/>
            <w:szCs w:val="24"/>
            <w:u w:val="single"/>
            <w:lang w:val="en-IE" w:eastAsia="en-US"/>
          </w:rPr>
          <w:t>CINEA-EMFAF-CONTRACTS@ec.europa.eu</w:t>
        </w:r>
      </w:hyperlink>
      <w:r w:rsidRPr="00B73AD0">
        <w:rPr>
          <w:i/>
          <w:color w:val="0000FF"/>
          <w:szCs w:val="24"/>
          <w:lang w:val="en-IE" w:eastAsia="en-US"/>
        </w:rPr>
        <w:t xml:space="preserve"> </w:t>
      </w:r>
      <w:r w:rsidRPr="00B73AD0">
        <w:rPr>
          <w:i/>
          <w:szCs w:val="24"/>
          <w:lang w:val="en-IE" w:eastAsia="en-US"/>
        </w:rPr>
        <w:t xml:space="preserve"> </w:t>
      </w:r>
      <w:r w:rsidRPr="00B73AD0">
        <w:rPr>
          <w:szCs w:val="24"/>
          <w:lang w:val="fr-BE" w:eastAsia="en-GB"/>
        </w:rPr>
        <w:t xml:space="preserve"> </w:t>
      </w:r>
    </w:p>
    <w:p w14:paraId="07FC1EE6" w14:textId="77777777" w:rsidR="00B73AD0" w:rsidRPr="00B73AD0" w:rsidRDefault="00B73AD0" w:rsidP="00B73AD0">
      <w:pPr>
        <w:spacing w:after="0"/>
        <w:ind w:left="1080"/>
        <w:rPr>
          <w:szCs w:val="24"/>
          <w:lang w:val="fr-BE" w:eastAsia="en-GB"/>
        </w:rPr>
      </w:pPr>
    </w:p>
    <w:p w14:paraId="6E3A06D6" w14:textId="5ECD3C17" w:rsidR="00B73AD0" w:rsidRPr="00B73AD0" w:rsidRDefault="00B73AD0" w:rsidP="00B73AD0">
      <w:pPr>
        <w:numPr>
          <w:ilvl w:val="0"/>
          <w:numId w:val="23"/>
        </w:numPr>
        <w:spacing w:after="0"/>
        <w:rPr>
          <w:szCs w:val="24"/>
          <w:lang w:eastAsia="en-GB"/>
        </w:rPr>
      </w:pPr>
      <w:r w:rsidRPr="00B73AD0">
        <w:rPr>
          <w:szCs w:val="24"/>
          <w:lang w:eastAsia="en-GB"/>
        </w:rPr>
        <w:t xml:space="preserve">The </w:t>
      </w:r>
      <w:r w:rsidRPr="00B73AD0">
        <w:rPr>
          <w:b/>
          <w:szCs w:val="24"/>
          <w:lang w:eastAsia="en-GB"/>
        </w:rPr>
        <w:t>purpose of the processing</w:t>
      </w:r>
      <w:r w:rsidRPr="00B73AD0">
        <w:rPr>
          <w:szCs w:val="24"/>
          <w:lang w:eastAsia="en-GB"/>
        </w:rPr>
        <w:t xml:space="preserve"> is for the controller and its contractor(s)</w:t>
      </w:r>
      <w:r w:rsidR="00C664D8">
        <w:rPr>
          <w:szCs w:val="24"/>
          <w:lang w:eastAsia="en-GB"/>
        </w:rPr>
        <w:t xml:space="preserve"> </w:t>
      </w:r>
      <w:r w:rsidR="00C664D8" w:rsidRPr="00C664D8">
        <w:rPr>
          <w:i/>
          <w:szCs w:val="24"/>
          <w:highlight w:val="lightGray"/>
          <w:lang w:eastAsia="en-GB"/>
        </w:rPr>
        <w:t>(</w:t>
      </w:r>
      <w:r w:rsidRPr="00B73AD0">
        <w:rPr>
          <w:i/>
          <w:szCs w:val="24"/>
          <w:highlight w:val="lightGray"/>
          <w:lang w:eastAsia="en-GB"/>
        </w:rPr>
        <w:t>insert name</w:t>
      </w:r>
      <w:r w:rsidR="00C664D8" w:rsidRPr="00C664D8">
        <w:rPr>
          <w:i/>
          <w:szCs w:val="24"/>
          <w:highlight w:val="lightGray"/>
          <w:lang w:eastAsia="en-GB"/>
        </w:rPr>
        <w:t>)</w:t>
      </w:r>
      <w:r w:rsidRPr="00C664D8">
        <w:rPr>
          <w:i/>
          <w:szCs w:val="24"/>
          <w:highlight w:val="lightGray"/>
          <w:lang w:eastAsia="en-GB"/>
        </w:rPr>
        <w:t> </w:t>
      </w:r>
      <w:r w:rsidRPr="00C664D8">
        <w:rPr>
          <w:i/>
          <w:iCs/>
          <w:szCs w:val="24"/>
          <w:highlight w:val="lightGray"/>
          <w:lang w:eastAsia="en-GB"/>
        </w:rPr>
        <w:t>(</w:t>
      </w:r>
      <w:r w:rsidRPr="00C664D8">
        <w:rPr>
          <w:rStyle w:val="FootnoteReference"/>
          <w:i/>
          <w:iCs/>
          <w:szCs w:val="24"/>
          <w:highlight w:val="lightGray"/>
          <w:lang w:eastAsia="en-GB"/>
        </w:rPr>
        <w:footnoteReference w:id="1"/>
      </w:r>
      <w:r w:rsidRPr="00C664D8">
        <w:rPr>
          <w:i/>
          <w:iCs/>
          <w:szCs w:val="24"/>
          <w:highlight w:val="lightGray"/>
          <w:lang w:eastAsia="en-GB"/>
        </w:rPr>
        <w:t>)</w:t>
      </w:r>
      <w:r w:rsidRPr="00B73AD0">
        <w:rPr>
          <w:i/>
          <w:iCs/>
          <w:szCs w:val="24"/>
          <w:lang w:eastAsia="en-GB"/>
        </w:rPr>
        <w:t xml:space="preserve">  </w:t>
      </w:r>
      <w:r w:rsidRPr="00B73AD0">
        <w:rPr>
          <w:szCs w:val="24"/>
          <w:lang w:eastAsia="en-GB"/>
        </w:rPr>
        <w:t xml:space="preserve">to  </w:t>
      </w:r>
    </w:p>
    <w:p w14:paraId="4325432B" w14:textId="09442246" w:rsidR="00B73AD0" w:rsidRPr="00B73AD0" w:rsidRDefault="00C664D8" w:rsidP="00B73AD0">
      <w:pPr>
        <w:spacing w:after="0"/>
        <w:ind w:left="360"/>
        <w:rPr>
          <w:i/>
          <w:color w:val="0070C0"/>
          <w:szCs w:val="24"/>
          <w:lang w:eastAsia="en-GB"/>
        </w:rPr>
      </w:pPr>
      <w:r>
        <w:rPr>
          <w:i/>
          <w:color w:val="0070C0"/>
          <w:szCs w:val="24"/>
          <w:lang w:eastAsia="en-GB"/>
        </w:rPr>
        <w:t>(</w:t>
      </w:r>
      <w:r w:rsidR="00B73AD0" w:rsidRPr="00B73AD0">
        <w:rPr>
          <w:i/>
          <w:color w:val="0070C0"/>
          <w:szCs w:val="24"/>
          <w:lang w:eastAsia="en-GB"/>
        </w:rPr>
        <w:t>Insert very concise description of what you intend to achieve, m</w:t>
      </w:r>
      <w:r w:rsidR="00B73AD0">
        <w:rPr>
          <w:i/>
          <w:color w:val="0070C0"/>
          <w:szCs w:val="24"/>
          <w:lang w:eastAsia="en-GB"/>
        </w:rPr>
        <w:t>eaning</w:t>
      </w:r>
      <w:r w:rsidR="00B73AD0" w:rsidRPr="00B73AD0">
        <w:rPr>
          <w:i/>
          <w:color w:val="0070C0"/>
          <w:szCs w:val="24"/>
          <w:lang w:eastAsia="en-GB"/>
        </w:rPr>
        <w:t xml:space="preserve"> the reason and objective(s) for processing the personal data</w:t>
      </w:r>
      <w:r>
        <w:rPr>
          <w:i/>
          <w:color w:val="0070C0"/>
          <w:szCs w:val="24"/>
          <w:lang w:eastAsia="en-GB"/>
        </w:rPr>
        <w:t>)</w:t>
      </w:r>
    </w:p>
    <w:p w14:paraId="078E932E" w14:textId="77777777" w:rsidR="00B73AD0" w:rsidRPr="00B73AD0" w:rsidRDefault="00B73AD0" w:rsidP="00B73AD0">
      <w:pPr>
        <w:spacing w:after="0"/>
        <w:ind w:left="360"/>
        <w:rPr>
          <w:i/>
          <w:color w:val="0070C0"/>
          <w:szCs w:val="24"/>
          <w:lang w:eastAsia="en-GB"/>
        </w:rPr>
      </w:pPr>
    </w:p>
    <w:p w14:paraId="03B0F4ED" w14:textId="6773E451" w:rsidR="00B73AD0" w:rsidRPr="00B73AD0" w:rsidRDefault="00B73AD0" w:rsidP="00B73AD0">
      <w:pPr>
        <w:numPr>
          <w:ilvl w:val="0"/>
          <w:numId w:val="23"/>
        </w:numPr>
        <w:spacing w:after="0"/>
        <w:rPr>
          <w:szCs w:val="24"/>
          <w:lang w:eastAsia="en-GB"/>
        </w:rPr>
      </w:pPr>
      <w:r w:rsidRPr="00B73AD0">
        <w:rPr>
          <w:szCs w:val="24"/>
          <w:lang w:eastAsia="en-GB"/>
        </w:rPr>
        <w:t xml:space="preserve">The </w:t>
      </w:r>
      <w:r w:rsidRPr="00B73AD0">
        <w:rPr>
          <w:b/>
          <w:szCs w:val="24"/>
          <w:lang w:eastAsia="en-GB"/>
        </w:rPr>
        <w:t>data subjects</w:t>
      </w:r>
      <w:r w:rsidRPr="00B73AD0">
        <w:rPr>
          <w:szCs w:val="24"/>
          <w:lang w:eastAsia="en-GB"/>
        </w:rPr>
        <w:t xml:space="preserve"> concerned by this notice are</w:t>
      </w:r>
      <w:r w:rsidR="00B918F3">
        <w:rPr>
          <w:szCs w:val="24"/>
          <w:lang w:eastAsia="en-GB"/>
        </w:rPr>
        <w:t>:</w:t>
      </w:r>
      <w:r w:rsidRPr="00B73AD0">
        <w:rPr>
          <w:szCs w:val="24"/>
          <w:lang w:eastAsia="en-GB"/>
        </w:rPr>
        <w:t xml:space="preserve"> </w:t>
      </w:r>
    </w:p>
    <w:p w14:paraId="36B0D7D4" w14:textId="40620643" w:rsidR="00B73AD0" w:rsidRPr="00B73AD0" w:rsidRDefault="00C664D8" w:rsidP="00B73AD0">
      <w:pPr>
        <w:spacing w:after="0"/>
        <w:ind w:left="360"/>
        <w:rPr>
          <w:i/>
          <w:color w:val="0070C0"/>
          <w:szCs w:val="24"/>
          <w:lang w:eastAsia="en-GB"/>
        </w:rPr>
      </w:pPr>
      <w:r>
        <w:rPr>
          <w:i/>
          <w:color w:val="0070C0"/>
          <w:szCs w:val="24"/>
          <w:lang w:eastAsia="en-GB"/>
        </w:rPr>
        <w:t>(</w:t>
      </w:r>
      <w:r w:rsidR="00B73AD0" w:rsidRPr="00B73AD0">
        <w:rPr>
          <w:i/>
          <w:color w:val="0070C0"/>
          <w:szCs w:val="24"/>
          <w:lang w:eastAsia="en-GB"/>
        </w:rPr>
        <w:t xml:space="preserve">Insert the type of natural persons concerned by this processing </w:t>
      </w:r>
      <w:r w:rsidR="00B918F3">
        <w:rPr>
          <w:i/>
          <w:color w:val="0070C0"/>
          <w:szCs w:val="24"/>
          <w:lang w:eastAsia="en-GB"/>
        </w:rPr>
        <w:t>and</w:t>
      </w:r>
      <w:r w:rsidR="00B73AD0" w:rsidRPr="00B73AD0">
        <w:rPr>
          <w:i/>
          <w:color w:val="0070C0"/>
          <w:szCs w:val="24"/>
          <w:lang w:eastAsia="en-GB"/>
        </w:rPr>
        <w:t xml:space="preserve"> whose personal data is being processed, e.g.: CINEA staff members, grant beneficiaries, experts, applicants, stakeholders etc.</w:t>
      </w:r>
      <w:r>
        <w:rPr>
          <w:i/>
          <w:color w:val="0070C0"/>
          <w:szCs w:val="24"/>
          <w:lang w:eastAsia="en-GB"/>
        </w:rPr>
        <w:t>)</w:t>
      </w:r>
      <w:r w:rsidR="00B73AD0" w:rsidRPr="00B73AD0">
        <w:rPr>
          <w:i/>
          <w:color w:val="0070C0"/>
          <w:szCs w:val="24"/>
          <w:lang w:eastAsia="en-GB"/>
        </w:rPr>
        <w:t xml:space="preserve">  </w:t>
      </w:r>
    </w:p>
    <w:p w14:paraId="3954AE8B" w14:textId="77777777" w:rsidR="00B73AD0" w:rsidRPr="00B73AD0" w:rsidRDefault="00B73AD0" w:rsidP="00B73AD0">
      <w:pPr>
        <w:spacing w:after="0"/>
        <w:rPr>
          <w:szCs w:val="24"/>
          <w:lang w:eastAsia="en-GB"/>
        </w:rPr>
      </w:pPr>
    </w:p>
    <w:p w14:paraId="00B8CBC3" w14:textId="77777777" w:rsidR="00B73AD0" w:rsidRPr="00B73AD0" w:rsidRDefault="00B73AD0" w:rsidP="00B73AD0">
      <w:pPr>
        <w:numPr>
          <w:ilvl w:val="0"/>
          <w:numId w:val="23"/>
        </w:numPr>
        <w:spacing w:after="0"/>
        <w:rPr>
          <w:szCs w:val="24"/>
          <w:lang w:eastAsia="en-GB"/>
        </w:rPr>
      </w:pPr>
      <w:r w:rsidRPr="00B73AD0">
        <w:rPr>
          <w:szCs w:val="24"/>
          <w:lang w:eastAsia="en-GB"/>
        </w:rPr>
        <w:t xml:space="preserve">The </w:t>
      </w:r>
      <w:r w:rsidRPr="00B73AD0">
        <w:rPr>
          <w:b/>
          <w:szCs w:val="24"/>
          <w:lang w:eastAsia="en-GB"/>
        </w:rPr>
        <w:t>categories of personal data</w:t>
      </w:r>
      <w:r w:rsidRPr="00B73AD0">
        <w:rPr>
          <w:szCs w:val="24"/>
          <w:lang w:eastAsia="en-GB"/>
        </w:rPr>
        <w:t xml:space="preserve"> collected and used for the processing operations are:</w:t>
      </w:r>
    </w:p>
    <w:p w14:paraId="4C6DB355" w14:textId="62ED8E5E" w:rsidR="00B73AD0" w:rsidRPr="00B73AD0" w:rsidRDefault="00C664D8" w:rsidP="00B73AD0">
      <w:pPr>
        <w:spacing w:after="0"/>
        <w:ind w:left="360"/>
        <w:rPr>
          <w:i/>
          <w:color w:val="0070C0"/>
          <w:szCs w:val="24"/>
          <w:lang w:eastAsia="en-GB"/>
        </w:rPr>
      </w:pPr>
      <w:r>
        <w:rPr>
          <w:i/>
          <w:color w:val="0070C0"/>
          <w:szCs w:val="24"/>
          <w:lang w:eastAsia="en-GB"/>
        </w:rPr>
        <w:t>(</w:t>
      </w:r>
      <w:r w:rsidR="00B73AD0" w:rsidRPr="00B73AD0">
        <w:rPr>
          <w:i/>
          <w:color w:val="0070C0"/>
          <w:szCs w:val="24"/>
          <w:lang w:eastAsia="en-GB"/>
        </w:rPr>
        <w:t xml:space="preserve">Insert the type of personal data used for instance: </w:t>
      </w:r>
    </w:p>
    <w:p w14:paraId="2785A643" w14:textId="288E92BA" w:rsidR="00B73AD0" w:rsidRPr="00B73AD0" w:rsidRDefault="000B466B" w:rsidP="00B73AD0">
      <w:pPr>
        <w:numPr>
          <w:ilvl w:val="0"/>
          <w:numId w:val="26"/>
        </w:numPr>
        <w:spacing w:after="0"/>
        <w:contextualSpacing/>
        <w:rPr>
          <w:i/>
          <w:color w:val="0070C0"/>
          <w:szCs w:val="24"/>
          <w:lang w:eastAsia="en-GB"/>
        </w:rPr>
      </w:pPr>
      <w:r>
        <w:rPr>
          <w:i/>
          <w:color w:val="0070C0"/>
          <w:szCs w:val="24"/>
          <w:lang w:eastAsia="en-GB"/>
        </w:rPr>
        <w:lastRenderedPageBreak/>
        <w:t>Identification data: fist name, last name, position/function</w:t>
      </w:r>
      <w:r w:rsidR="00B73AD0" w:rsidRPr="00B73AD0">
        <w:rPr>
          <w:i/>
          <w:color w:val="0070C0"/>
          <w:szCs w:val="24"/>
          <w:lang w:eastAsia="en-GB"/>
        </w:rPr>
        <w:t xml:space="preserve">; </w:t>
      </w:r>
    </w:p>
    <w:p w14:paraId="4D482A3C" w14:textId="25926B1F" w:rsidR="00B73AD0" w:rsidRPr="00B73AD0" w:rsidRDefault="000B466B" w:rsidP="00B73AD0">
      <w:pPr>
        <w:numPr>
          <w:ilvl w:val="0"/>
          <w:numId w:val="26"/>
        </w:numPr>
        <w:spacing w:after="0"/>
        <w:contextualSpacing/>
        <w:rPr>
          <w:i/>
          <w:color w:val="0070C0"/>
          <w:szCs w:val="24"/>
          <w:lang w:eastAsia="en-GB"/>
        </w:rPr>
      </w:pPr>
      <w:r>
        <w:rPr>
          <w:i/>
          <w:color w:val="0070C0"/>
          <w:szCs w:val="24"/>
          <w:lang w:eastAsia="en-GB"/>
        </w:rPr>
        <w:t>Date of birth, nationality</w:t>
      </w:r>
      <w:r w:rsidR="00B73AD0" w:rsidRPr="00B73AD0">
        <w:rPr>
          <w:i/>
          <w:color w:val="0070C0"/>
          <w:szCs w:val="24"/>
          <w:lang w:eastAsia="en-GB"/>
        </w:rPr>
        <w:t xml:space="preserve">; </w:t>
      </w:r>
    </w:p>
    <w:p w14:paraId="64892E17" w14:textId="728F12EA" w:rsidR="00B73AD0" w:rsidRDefault="000B466B" w:rsidP="00B73AD0">
      <w:pPr>
        <w:numPr>
          <w:ilvl w:val="0"/>
          <w:numId w:val="26"/>
        </w:numPr>
        <w:spacing w:after="0"/>
        <w:contextualSpacing/>
        <w:rPr>
          <w:i/>
          <w:color w:val="0070C0"/>
          <w:szCs w:val="24"/>
          <w:lang w:eastAsia="en-GB"/>
        </w:rPr>
      </w:pPr>
      <w:r>
        <w:rPr>
          <w:i/>
          <w:color w:val="0070C0"/>
          <w:szCs w:val="24"/>
          <w:lang w:eastAsia="en-GB"/>
        </w:rPr>
        <w:t>C</w:t>
      </w:r>
      <w:r w:rsidR="00B73AD0" w:rsidRPr="00B73AD0">
        <w:rPr>
          <w:i/>
          <w:color w:val="0070C0"/>
          <w:szCs w:val="24"/>
          <w:lang w:eastAsia="en-GB"/>
        </w:rPr>
        <w:t>ontact details (e-mail address, business telephone/GSM numbers, fax number, postal address, company and department, country of residence, internet address);</w:t>
      </w:r>
    </w:p>
    <w:p w14:paraId="1E180545" w14:textId="437EB103" w:rsidR="000B466B" w:rsidRPr="00B73AD0" w:rsidRDefault="000B466B" w:rsidP="00B73AD0">
      <w:pPr>
        <w:numPr>
          <w:ilvl w:val="0"/>
          <w:numId w:val="26"/>
        </w:numPr>
        <w:spacing w:after="0"/>
        <w:contextualSpacing/>
        <w:rPr>
          <w:i/>
          <w:color w:val="0070C0"/>
          <w:szCs w:val="24"/>
          <w:lang w:eastAsia="en-GB"/>
        </w:rPr>
      </w:pPr>
      <w:r>
        <w:rPr>
          <w:i/>
          <w:color w:val="0070C0"/>
          <w:szCs w:val="24"/>
          <w:lang w:eastAsia="en-GB"/>
        </w:rPr>
        <w:t>Curriculum vitae</w:t>
      </w:r>
    </w:p>
    <w:p w14:paraId="7DBA1094" w14:textId="771D268F" w:rsidR="00B73AD0" w:rsidRPr="00B73AD0" w:rsidRDefault="00B73AD0" w:rsidP="00B73AD0">
      <w:pPr>
        <w:numPr>
          <w:ilvl w:val="0"/>
          <w:numId w:val="26"/>
        </w:numPr>
        <w:spacing w:after="0"/>
        <w:contextualSpacing/>
        <w:rPr>
          <w:i/>
          <w:color w:val="0070C0"/>
          <w:szCs w:val="24"/>
          <w:lang w:eastAsia="en-GB"/>
        </w:rPr>
      </w:pPr>
      <w:r w:rsidRPr="00B73AD0">
        <w:rPr>
          <w:i/>
          <w:color w:val="0070C0"/>
          <w:szCs w:val="24"/>
          <w:lang w:eastAsia="en-GB"/>
        </w:rPr>
        <w:t>technical skills etc.</w:t>
      </w:r>
      <w:r w:rsidR="00C664D8">
        <w:rPr>
          <w:i/>
          <w:color w:val="0070C0"/>
          <w:szCs w:val="24"/>
          <w:lang w:eastAsia="en-GB"/>
        </w:rPr>
        <w:t>)</w:t>
      </w:r>
    </w:p>
    <w:p w14:paraId="661AF101" w14:textId="77777777" w:rsidR="00B73AD0" w:rsidRPr="00B73AD0" w:rsidRDefault="00B73AD0" w:rsidP="00B73AD0">
      <w:pPr>
        <w:spacing w:after="0"/>
        <w:ind w:left="426"/>
        <w:rPr>
          <w:i/>
          <w:color w:val="0070C0"/>
          <w:szCs w:val="24"/>
          <w:lang w:eastAsia="en-GB"/>
        </w:rPr>
      </w:pPr>
    </w:p>
    <w:p w14:paraId="329C9B4A" w14:textId="1ECA0CC4" w:rsidR="00B73AD0" w:rsidRDefault="00C664D8" w:rsidP="00C664D8">
      <w:pPr>
        <w:spacing w:after="0"/>
        <w:rPr>
          <w:i/>
          <w:color w:val="0070C0"/>
          <w:szCs w:val="24"/>
          <w:lang w:eastAsia="en-GB"/>
        </w:rPr>
      </w:pPr>
      <w:r>
        <w:rPr>
          <w:i/>
          <w:color w:val="0070C0"/>
          <w:szCs w:val="24"/>
          <w:lang w:eastAsia="en-GB"/>
        </w:rPr>
        <w:t>(</w:t>
      </w:r>
      <w:r w:rsidR="00B73AD0" w:rsidRPr="00B73AD0">
        <w:rPr>
          <w:i/>
          <w:color w:val="0070C0"/>
          <w:szCs w:val="24"/>
          <w:lang w:eastAsia="en-GB"/>
        </w:rPr>
        <w:t>In case personal data have not been obtained from the data subject, please indicate from which source the personal data originate, and if applicable, whether it came from publicly accessible sources</w:t>
      </w:r>
      <w:r>
        <w:rPr>
          <w:i/>
          <w:color w:val="0070C0"/>
          <w:szCs w:val="24"/>
          <w:lang w:eastAsia="en-GB"/>
        </w:rPr>
        <w:t>)</w:t>
      </w:r>
    </w:p>
    <w:p w14:paraId="6EB7FB13" w14:textId="2327E8F0" w:rsidR="000B466B" w:rsidRDefault="000B466B" w:rsidP="00B73AD0">
      <w:pPr>
        <w:spacing w:after="0"/>
        <w:ind w:left="426"/>
        <w:rPr>
          <w:i/>
          <w:color w:val="0070C0"/>
          <w:szCs w:val="24"/>
          <w:lang w:eastAsia="en-GB"/>
        </w:rPr>
      </w:pPr>
    </w:p>
    <w:p w14:paraId="5F7383BC" w14:textId="13655BA9" w:rsidR="00B73AD0" w:rsidRPr="00B73AD0" w:rsidRDefault="001626B6" w:rsidP="00B918F3">
      <w:pPr>
        <w:numPr>
          <w:ilvl w:val="0"/>
          <w:numId w:val="23"/>
        </w:numPr>
        <w:spacing w:after="0"/>
        <w:ind w:left="426" w:hanging="426"/>
        <w:rPr>
          <w:szCs w:val="24"/>
          <w:lang w:eastAsia="en-GB"/>
        </w:rPr>
      </w:pPr>
      <w:r w:rsidRPr="00B73AD0">
        <w:rPr>
          <w:szCs w:val="24"/>
          <w:lang w:eastAsia="en-GB"/>
        </w:rPr>
        <w:t xml:space="preserve">All </w:t>
      </w:r>
      <w:r w:rsidRPr="00B73AD0">
        <w:rPr>
          <w:b/>
          <w:bCs/>
          <w:szCs w:val="24"/>
          <w:lang w:eastAsia="en-GB"/>
        </w:rPr>
        <w:t>recipients</w:t>
      </w:r>
      <w:r w:rsidRPr="00B73AD0">
        <w:rPr>
          <w:szCs w:val="24"/>
          <w:lang w:eastAsia="en-GB"/>
        </w:rPr>
        <w:t xml:space="preserve"> are on a "need to know" basis</w:t>
      </w:r>
      <w:r w:rsidRPr="001626B6">
        <w:rPr>
          <w:szCs w:val="24"/>
          <w:lang w:eastAsia="en-GB"/>
        </w:rPr>
        <w:t>. The recipients to whom the personal data will or might be disclosed are:</w:t>
      </w:r>
      <w:r w:rsidR="00B73AD0" w:rsidRPr="00B73AD0">
        <w:rPr>
          <w:szCs w:val="24"/>
          <w:lang w:eastAsia="en-GB"/>
        </w:rPr>
        <w:t>:</w:t>
      </w:r>
    </w:p>
    <w:p w14:paraId="00CFFBA7" w14:textId="75131D61" w:rsidR="00B73AD0" w:rsidRPr="00B73AD0" w:rsidRDefault="00C664D8" w:rsidP="00B73AD0">
      <w:pPr>
        <w:spacing w:after="0"/>
        <w:rPr>
          <w:i/>
          <w:color w:val="0070C0"/>
          <w:szCs w:val="24"/>
          <w:lang w:eastAsia="en-GB"/>
        </w:rPr>
      </w:pPr>
      <w:r>
        <w:rPr>
          <w:i/>
          <w:color w:val="0070C0"/>
          <w:szCs w:val="24"/>
          <w:lang w:eastAsia="en-GB"/>
        </w:rPr>
        <w:t>(</w:t>
      </w:r>
      <w:r w:rsidR="00B73AD0" w:rsidRPr="00B73AD0">
        <w:rPr>
          <w:i/>
          <w:color w:val="0070C0"/>
          <w:szCs w:val="24"/>
          <w:lang w:eastAsia="en-GB"/>
        </w:rPr>
        <w:t xml:space="preserve">Please insert:  Who will have access to the data </w:t>
      </w:r>
      <w:r w:rsidR="00B73AD0" w:rsidRPr="00B73AD0">
        <w:rPr>
          <w:i/>
          <w:color w:val="0070C0"/>
          <w:szCs w:val="24"/>
          <w:u w:val="single"/>
          <w:lang w:eastAsia="en-GB"/>
        </w:rPr>
        <w:t>within</w:t>
      </w:r>
      <w:r w:rsidR="00B73AD0" w:rsidRPr="00B73AD0">
        <w:rPr>
          <w:i/>
          <w:color w:val="0070C0"/>
          <w:szCs w:val="24"/>
          <w:lang w:eastAsia="en-GB"/>
        </w:rPr>
        <w:t xml:space="preserve"> the Agency?</w:t>
      </w:r>
      <w:r w:rsidR="00B918F3">
        <w:rPr>
          <w:i/>
          <w:color w:val="0070C0"/>
          <w:szCs w:val="24"/>
          <w:lang w:eastAsia="en-GB"/>
        </w:rPr>
        <w:t xml:space="preserve"> </w:t>
      </w:r>
      <w:r w:rsidR="00B73AD0" w:rsidRPr="00B73AD0">
        <w:rPr>
          <w:i/>
          <w:color w:val="0070C0"/>
          <w:szCs w:val="24"/>
          <w:lang w:eastAsia="en-GB"/>
        </w:rPr>
        <w:t xml:space="preserve">Who will have access to </w:t>
      </w:r>
      <w:r w:rsidR="00B73AD0" w:rsidRPr="00B73AD0">
        <w:rPr>
          <w:color w:val="0070C0"/>
          <w:szCs w:val="24"/>
          <w:lang w:eastAsia="en-GB"/>
        </w:rPr>
        <w:t xml:space="preserve">the data </w:t>
      </w:r>
      <w:r w:rsidR="00B73AD0" w:rsidRPr="00B73AD0">
        <w:rPr>
          <w:color w:val="0070C0"/>
          <w:szCs w:val="24"/>
          <w:u w:val="single"/>
          <w:lang w:eastAsia="en-GB"/>
        </w:rPr>
        <w:t>outside</w:t>
      </w:r>
      <w:r w:rsidR="00B73AD0" w:rsidRPr="00B73AD0">
        <w:rPr>
          <w:color w:val="0070C0"/>
          <w:szCs w:val="24"/>
          <w:lang w:eastAsia="en-GB"/>
        </w:rPr>
        <w:t xml:space="preserve"> the Agency? For instance</w:t>
      </w:r>
      <w:r w:rsidR="00B918F3">
        <w:rPr>
          <w:color w:val="0070C0"/>
          <w:szCs w:val="24"/>
          <w:lang w:eastAsia="en-GB"/>
        </w:rPr>
        <w:t>:</w:t>
      </w:r>
    </w:p>
    <w:p w14:paraId="45F5F55B" w14:textId="44535226" w:rsidR="00B73AD0" w:rsidRPr="00B73AD0" w:rsidRDefault="00B73AD0" w:rsidP="00B73AD0">
      <w:pPr>
        <w:numPr>
          <w:ilvl w:val="0"/>
          <w:numId w:val="24"/>
        </w:numPr>
        <w:spacing w:after="0"/>
        <w:rPr>
          <w:i/>
          <w:color w:val="0070C0"/>
          <w:szCs w:val="24"/>
          <w:lang w:eastAsia="en-GB"/>
        </w:rPr>
      </w:pPr>
      <w:r w:rsidRPr="00B73AD0">
        <w:rPr>
          <w:i/>
          <w:color w:val="0070C0"/>
          <w:szCs w:val="24"/>
          <w:lang w:eastAsia="en-GB"/>
        </w:rPr>
        <w:t>CINEA HR Staff,</w:t>
      </w:r>
    </w:p>
    <w:p w14:paraId="07D28D0A" w14:textId="654BE453" w:rsidR="00B73AD0" w:rsidRPr="00B73AD0" w:rsidRDefault="00B73AD0" w:rsidP="00B73AD0">
      <w:pPr>
        <w:numPr>
          <w:ilvl w:val="0"/>
          <w:numId w:val="24"/>
        </w:numPr>
        <w:spacing w:after="0"/>
        <w:rPr>
          <w:i/>
          <w:color w:val="0070C0"/>
          <w:szCs w:val="24"/>
          <w:lang w:eastAsia="en-GB"/>
        </w:rPr>
      </w:pPr>
      <w:r w:rsidRPr="00B73AD0">
        <w:rPr>
          <w:i/>
          <w:color w:val="0070C0"/>
          <w:szCs w:val="24"/>
          <w:lang w:eastAsia="en-GB"/>
        </w:rPr>
        <w:t>Contractor WX</w:t>
      </w:r>
      <w:r w:rsidR="0007268D">
        <w:rPr>
          <w:i/>
          <w:color w:val="0070C0"/>
          <w:szCs w:val="24"/>
          <w:lang w:eastAsia="en-GB"/>
        </w:rPr>
        <w:t>)</w:t>
      </w:r>
      <w:r w:rsidRPr="00B73AD0">
        <w:rPr>
          <w:i/>
          <w:color w:val="0070C0"/>
          <w:szCs w:val="24"/>
          <w:lang w:eastAsia="en-GB"/>
        </w:rPr>
        <w:t xml:space="preserve"> </w:t>
      </w:r>
    </w:p>
    <w:p w14:paraId="36E7BEE7" w14:textId="77777777" w:rsidR="00B918F3" w:rsidRDefault="00B918F3" w:rsidP="00C664D8">
      <w:pPr>
        <w:spacing w:after="0"/>
        <w:rPr>
          <w:i/>
          <w:color w:val="0070C0"/>
          <w:szCs w:val="24"/>
          <w:lang w:eastAsia="en-GB"/>
        </w:rPr>
      </w:pPr>
    </w:p>
    <w:p w14:paraId="271A8109" w14:textId="6E8932D8" w:rsidR="00B73AD0" w:rsidRPr="00B73AD0" w:rsidRDefault="00B73AD0" w:rsidP="00897E27">
      <w:pPr>
        <w:spacing w:after="0"/>
        <w:rPr>
          <w:szCs w:val="24"/>
          <w:lang w:eastAsia="en-GB"/>
        </w:rPr>
      </w:pPr>
      <w:r w:rsidRPr="00B73AD0">
        <w:rPr>
          <w:szCs w:val="24"/>
          <w:lang w:eastAsia="en-GB"/>
        </w:rPr>
        <w:t>In case of audits or proceedings, etc., personal data may be provided to CINEA’s Internal Controller, DPO, Legal Sector, Staff Committee, etc.</w:t>
      </w:r>
    </w:p>
    <w:p w14:paraId="3ED4EDA4" w14:textId="77777777" w:rsidR="00B73AD0" w:rsidRPr="00B73AD0" w:rsidRDefault="00B73AD0" w:rsidP="00B73AD0">
      <w:pPr>
        <w:spacing w:after="0"/>
        <w:ind w:left="426"/>
        <w:rPr>
          <w:i/>
          <w:color w:val="0070C0"/>
          <w:szCs w:val="24"/>
          <w:lang w:eastAsia="en-GB"/>
        </w:rPr>
      </w:pPr>
    </w:p>
    <w:p w14:paraId="72702D5B" w14:textId="77777777" w:rsidR="00897E27" w:rsidRPr="0087483B" w:rsidRDefault="00897E27" w:rsidP="00897E27">
      <w:pPr>
        <w:spacing w:before="4" w:after="120"/>
        <w:rPr>
          <w:szCs w:val="24"/>
          <w:lang w:eastAsia="en-GB"/>
        </w:rPr>
      </w:pPr>
      <w:r w:rsidRPr="0087483B">
        <w:rPr>
          <w:szCs w:val="24"/>
          <w:lang w:eastAsia="en-GB"/>
        </w:rPr>
        <w:t>In addition, data may be disclosed to public authorities such as for instance the below ones, which may not be regarded as recipient in accordance with Union and Member State law. The processing of those data by those public authorities shall be in compliance with the applicable data protection rules according to the purpose of the processing:</w:t>
      </w:r>
    </w:p>
    <w:p w14:paraId="5488DF56" w14:textId="77777777" w:rsidR="00897E27" w:rsidRDefault="00897E27" w:rsidP="00897E27">
      <w:pPr>
        <w:pStyle w:val="ListParagraph"/>
        <w:numPr>
          <w:ilvl w:val="0"/>
          <w:numId w:val="29"/>
        </w:numPr>
        <w:spacing w:before="4" w:after="120"/>
        <w:rPr>
          <w:szCs w:val="24"/>
        </w:rPr>
      </w:pPr>
      <w:r w:rsidRPr="0087483B">
        <w:rPr>
          <w:szCs w:val="24"/>
        </w:rPr>
        <w:t>Bodies in charge of a monitoring or an in</w:t>
      </w:r>
      <w:r>
        <w:rPr>
          <w:szCs w:val="24"/>
        </w:rPr>
        <w:t xml:space="preserve">spection task in application of </w:t>
      </w:r>
      <w:r w:rsidRPr="0087483B">
        <w:rPr>
          <w:szCs w:val="24"/>
        </w:rPr>
        <w:t>Union law (e.g. internal audit, IAS, Court of Auditors, etc.)</w:t>
      </w:r>
      <w:r>
        <w:rPr>
          <w:szCs w:val="24"/>
        </w:rPr>
        <w:t>;</w:t>
      </w:r>
      <w:r w:rsidRPr="0087483B">
        <w:rPr>
          <w:szCs w:val="24"/>
        </w:rPr>
        <w:t xml:space="preserve"> </w:t>
      </w:r>
    </w:p>
    <w:p w14:paraId="21ECDA02" w14:textId="77777777" w:rsidR="00897E27" w:rsidRPr="00D97BBB" w:rsidRDefault="00897E27" w:rsidP="00897E27">
      <w:pPr>
        <w:pStyle w:val="ListParagraph"/>
        <w:numPr>
          <w:ilvl w:val="0"/>
          <w:numId w:val="29"/>
        </w:numPr>
        <w:spacing w:before="4" w:after="120"/>
        <w:rPr>
          <w:szCs w:val="24"/>
        </w:rPr>
      </w:pPr>
      <w:r>
        <w:rPr>
          <w:szCs w:val="24"/>
        </w:rPr>
        <w:t>T</w:t>
      </w:r>
      <w:r w:rsidRPr="00D97BBB">
        <w:rPr>
          <w:szCs w:val="24"/>
        </w:rPr>
        <w:t>he European Court of Justice or a national judge as well as the lawyers and the agents of the parties in case of a legal procedure</w:t>
      </w:r>
      <w:r>
        <w:rPr>
          <w:szCs w:val="24"/>
        </w:rPr>
        <w:t>;</w:t>
      </w:r>
      <w:r w:rsidRPr="00D97BBB">
        <w:rPr>
          <w:szCs w:val="24"/>
        </w:rPr>
        <w:t xml:space="preserve"> </w:t>
      </w:r>
    </w:p>
    <w:p w14:paraId="16744A8F" w14:textId="77777777" w:rsidR="00897E27" w:rsidRPr="0087483B" w:rsidRDefault="00897E27" w:rsidP="00897E27">
      <w:pPr>
        <w:pStyle w:val="ListParagraph"/>
        <w:numPr>
          <w:ilvl w:val="0"/>
          <w:numId w:val="29"/>
        </w:numPr>
        <w:spacing w:before="4" w:after="120"/>
        <w:rPr>
          <w:szCs w:val="24"/>
        </w:rPr>
      </w:pPr>
      <w:r w:rsidRPr="0087483B">
        <w:rPr>
          <w:szCs w:val="24"/>
        </w:rPr>
        <w:t>OLAF in case of an investigation conducted in application of Regulation (EC) No 1073/1999</w:t>
      </w:r>
      <w:r>
        <w:rPr>
          <w:szCs w:val="24"/>
        </w:rPr>
        <w:t>;</w:t>
      </w:r>
    </w:p>
    <w:p w14:paraId="065CFC89" w14:textId="77777777" w:rsidR="00897E27" w:rsidRPr="0087483B" w:rsidRDefault="00897E27" w:rsidP="00897E27">
      <w:pPr>
        <w:pStyle w:val="ListParagraph"/>
        <w:numPr>
          <w:ilvl w:val="0"/>
          <w:numId w:val="29"/>
        </w:numPr>
        <w:spacing w:before="4" w:after="120"/>
        <w:rPr>
          <w:szCs w:val="24"/>
        </w:rPr>
      </w:pPr>
      <w:r w:rsidRPr="0087483B">
        <w:rPr>
          <w:szCs w:val="24"/>
        </w:rPr>
        <w:t>The European Ombudsman within the scope of the tasks entrusted to it by Article 228 of the Treaty on the Functioning of the European Union</w:t>
      </w:r>
      <w:r>
        <w:rPr>
          <w:szCs w:val="24"/>
        </w:rPr>
        <w:t>;</w:t>
      </w:r>
      <w:r w:rsidRPr="0087483B">
        <w:rPr>
          <w:szCs w:val="24"/>
        </w:rPr>
        <w:t xml:space="preserve"> </w:t>
      </w:r>
    </w:p>
    <w:p w14:paraId="3850CA2B" w14:textId="77777777" w:rsidR="00897E27" w:rsidRPr="0087483B" w:rsidRDefault="00897E27" w:rsidP="00897E27">
      <w:pPr>
        <w:pStyle w:val="ListParagraph"/>
        <w:numPr>
          <w:ilvl w:val="0"/>
          <w:numId w:val="29"/>
        </w:numPr>
        <w:spacing w:before="4" w:after="120"/>
        <w:rPr>
          <w:szCs w:val="24"/>
        </w:rPr>
      </w:pPr>
      <w:r w:rsidRPr="0087483B">
        <w:rPr>
          <w:szCs w:val="24"/>
        </w:rPr>
        <w:t>The European Data Protection supervisor in accordance with Article 58 of the Regulation (EC) 2018/1725</w:t>
      </w:r>
      <w:r>
        <w:rPr>
          <w:szCs w:val="24"/>
        </w:rPr>
        <w:t>;</w:t>
      </w:r>
      <w:r w:rsidRPr="0087483B">
        <w:rPr>
          <w:szCs w:val="24"/>
        </w:rPr>
        <w:t xml:space="preserve"> </w:t>
      </w:r>
    </w:p>
    <w:p w14:paraId="0E68A885" w14:textId="77777777" w:rsidR="00897E27" w:rsidRPr="00961F70" w:rsidRDefault="00897E27" w:rsidP="00897E27">
      <w:pPr>
        <w:pStyle w:val="ListParagraph"/>
        <w:numPr>
          <w:ilvl w:val="0"/>
          <w:numId w:val="29"/>
        </w:numPr>
        <w:spacing w:before="4" w:after="120"/>
        <w:rPr>
          <w:szCs w:val="24"/>
        </w:rPr>
      </w:pPr>
      <w:r w:rsidRPr="0087483B">
        <w:rPr>
          <w:szCs w:val="24"/>
        </w:rPr>
        <w:t>The European Public Prosecutor’s Office within the scope of Article 4 of Council Regulation (EU) 2017/1939 of 12 October 2017 implementing enhanced cooperation on the establishment of the European Public Prosecutor’s Office.</w:t>
      </w:r>
    </w:p>
    <w:p w14:paraId="6015A213" w14:textId="26787863" w:rsidR="00897E27" w:rsidRPr="0087483B" w:rsidRDefault="00897E27" w:rsidP="00897E27">
      <w:pPr>
        <w:spacing w:before="4" w:after="120"/>
        <w:rPr>
          <w:szCs w:val="24"/>
        </w:rPr>
      </w:pPr>
      <w:r w:rsidRPr="00C664D8">
        <w:rPr>
          <w:szCs w:val="24"/>
        </w:rPr>
        <w:t>The contractor</w:t>
      </w:r>
      <w:r w:rsidR="00C664D8">
        <w:rPr>
          <w:szCs w:val="24"/>
        </w:rPr>
        <w:t>(</w:t>
      </w:r>
      <w:r w:rsidRPr="00C664D8">
        <w:rPr>
          <w:szCs w:val="24"/>
        </w:rPr>
        <w:t>s</w:t>
      </w:r>
      <w:r w:rsidR="00C664D8">
        <w:rPr>
          <w:szCs w:val="24"/>
        </w:rPr>
        <w:t>)</w:t>
      </w:r>
      <w:r w:rsidRPr="00C664D8">
        <w:rPr>
          <w:szCs w:val="24"/>
        </w:rPr>
        <w:t xml:space="preserve"> will not share your personal data with any third parties without your express consent, except where we may be required to do so by law.</w:t>
      </w:r>
    </w:p>
    <w:p w14:paraId="62609927" w14:textId="77777777" w:rsidR="00B73AD0" w:rsidRPr="00B73AD0" w:rsidRDefault="00B73AD0" w:rsidP="00B73AD0">
      <w:pPr>
        <w:tabs>
          <w:tab w:val="left" w:pos="426"/>
        </w:tabs>
        <w:spacing w:after="0"/>
        <w:ind w:left="426"/>
        <w:rPr>
          <w:szCs w:val="24"/>
          <w:lang w:eastAsia="en-GB"/>
        </w:rPr>
      </w:pPr>
    </w:p>
    <w:p w14:paraId="627E5221" w14:textId="1D297026" w:rsidR="00E82E76" w:rsidRPr="00E82E76" w:rsidRDefault="00B73AD0" w:rsidP="00B73AD0">
      <w:pPr>
        <w:numPr>
          <w:ilvl w:val="0"/>
          <w:numId w:val="23"/>
        </w:numPr>
        <w:tabs>
          <w:tab w:val="left" w:pos="426"/>
        </w:tabs>
        <w:spacing w:after="0"/>
        <w:ind w:left="426" w:hanging="426"/>
        <w:rPr>
          <w:i/>
          <w:color w:val="0070C0"/>
          <w:szCs w:val="24"/>
          <w:lang w:val="en-US" w:eastAsia="en-GB"/>
        </w:rPr>
      </w:pPr>
      <w:r w:rsidRPr="00B73AD0">
        <w:rPr>
          <w:b/>
          <w:szCs w:val="24"/>
          <w:lang w:val="en-US" w:eastAsia="en-GB"/>
        </w:rPr>
        <w:t>Data Subjects rights</w:t>
      </w:r>
      <w:r w:rsidRPr="00B73AD0">
        <w:rPr>
          <w:szCs w:val="24"/>
          <w:lang w:val="en-US" w:eastAsia="en-GB"/>
        </w:rPr>
        <w:t xml:space="preserve">:  </w:t>
      </w:r>
    </w:p>
    <w:p w14:paraId="59C0219B" w14:textId="77777777" w:rsidR="00E82E76" w:rsidRPr="00E82E76" w:rsidRDefault="00E82E76" w:rsidP="00E82E76">
      <w:pPr>
        <w:tabs>
          <w:tab w:val="left" w:pos="426"/>
        </w:tabs>
        <w:spacing w:after="0"/>
        <w:ind w:left="426"/>
        <w:rPr>
          <w:i/>
          <w:color w:val="0070C0"/>
          <w:szCs w:val="24"/>
          <w:lang w:val="en-US" w:eastAsia="en-GB"/>
        </w:rPr>
      </w:pPr>
    </w:p>
    <w:p w14:paraId="745CD0DD" w14:textId="77777777" w:rsidR="00E82E76" w:rsidRDefault="00E82E76" w:rsidP="00E82E76">
      <w:pPr>
        <w:tabs>
          <w:tab w:val="left" w:pos="426"/>
        </w:tabs>
        <w:spacing w:before="4" w:after="120"/>
        <w:rPr>
          <w:szCs w:val="24"/>
        </w:rPr>
      </w:pPr>
      <w:r w:rsidRPr="005807C5">
        <w:rPr>
          <w:szCs w:val="24"/>
        </w:rPr>
        <w:t>You have the right at any time to access, rectify, erase ('right to be forgotten') your personal data</w:t>
      </w:r>
      <w:r>
        <w:rPr>
          <w:szCs w:val="24"/>
        </w:rPr>
        <w:t>.</w:t>
      </w:r>
      <w:r w:rsidRPr="005807C5">
        <w:rPr>
          <w:szCs w:val="24"/>
        </w:rPr>
        <w:t xml:space="preserve"> You are also entitled to object to the processing or request for the restriction of the processing</w:t>
      </w:r>
      <w:r>
        <w:rPr>
          <w:szCs w:val="24"/>
        </w:rPr>
        <w:t>.</w:t>
      </w:r>
    </w:p>
    <w:p w14:paraId="27C59517" w14:textId="77777777" w:rsidR="00E82E76" w:rsidRDefault="00E82E76" w:rsidP="00E82E76">
      <w:pPr>
        <w:tabs>
          <w:tab w:val="left" w:pos="426"/>
        </w:tabs>
        <w:spacing w:before="4" w:after="120"/>
        <w:rPr>
          <w:szCs w:val="24"/>
        </w:rPr>
      </w:pPr>
      <w:r w:rsidRPr="005807C5">
        <w:rPr>
          <w:szCs w:val="24"/>
        </w:rPr>
        <w:t>When processing is based on your consent, you have the right to withdraw your consent at any time, without affecting the lawfulness of the proc</w:t>
      </w:r>
      <w:r>
        <w:rPr>
          <w:szCs w:val="24"/>
        </w:rPr>
        <w:t>essing before such a withdrawal.</w:t>
      </w:r>
    </w:p>
    <w:p w14:paraId="4B004EC2" w14:textId="77777777" w:rsidR="00B73AD0" w:rsidRPr="00B73AD0" w:rsidRDefault="00B73AD0" w:rsidP="00E82E76">
      <w:pPr>
        <w:tabs>
          <w:tab w:val="left" w:pos="426"/>
        </w:tabs>
        <w:spacing w:after="0"/>
        <w:rPr>
          <w:szCs w:val="24"/>
          <w:lang w:val="en-US" w:eastAsia="en-GB"/>
        </w:rPr>
      </w:pPr>
      <w:r w:rsidRPr="00B73AD0">
        <w:rPr>
          <w:szCs w:val="24"/>
          <w:lang w:val="en-US" w:eastAsia="en-GB"/>
        </w:rPr>
        <w:lastRenderedPageBreak/>
        <w:t xml:space="preserve">You can exercise your rights by sending an email with the requested change(s) to the controller via the functional mailbox indicated here-above in Section 1. </w:t>
      </w:r>
    </w:p>
    <w:p w14:paraId="016AD47E" w14:textId="77777777" w:rsidR="00E82E76" w:rsidRDefault="00E82E76" w:rsidP="00E82E76">
      <w:pPr>
        <w:tabs>
          <w:tab w:val="left" w:pos="426"/>
        </w:tabs>
        <w:spacing w:after="0"/>
        <w:rPr>
          <w:szCs w:val="24"/>
          <w:lang w:val="en-US" w:eastAsia="en-GB"/>
        </w:rPr>
      </w:pPr>
    </w:p>
    <w:p w14:paraId="65DA51E6" w14:textId="0B857188" w:rsidR="00B73AD0" w:rsidRPr="00B73AD0" w:rsidRDefault="00B73AD0" w:rsidP="00E82E76">
      <w:pPr>
        <w:tabs>
          <w:tab w:val="left" w:pos="426"/>
        </w:tabs>
        <w:spacing w:after="0"/>
        <w:rPr>
          <w:szCs w:val="24"/>
          <w:lang w:val="en-US" w:eastAsia="en-GB"/>
        </w:rPr>
      </w:pPr>
      <w:r w:rsidRPr="00B73AD0">
        <w:rPr>
          <w:szCs w:val="24"/>
          <w:lang w:val="en-US" w:eastAsia="en-GB"/>
        </w:rPr>
        <w:t>In any case</w:t>
      </w:r>
      <w:r w:rsidR="00E82E76">
        <w:rPr>
          <w:szCs w:val="24"/>
          <w:lang w:val="en-US" w:eastAsia="en-GB"/>
        </w:rPr>
        <w:t>,</w:t>
      </w:r>
      <w:r w:rsidRPr="00B73AD0">
        <w:rPr>
          <w:szCs w:val="24"/>
          <w:lang w:val="en-US" w:eastAsia="en-GB"/>
        </w:rPr>
        <w:t xml:space="preserve"> your data will be modified or removed accordingly and as soon as practicable (maximum within </w:t>
      </w:r>
      <w:r w:rsidR="00690327">
        <w:rPr>
          <w:szCs w:val="24"/>
          <w:lang w:val="en-US" w:eastAsia="en-GB"/>
        </w:rPr>
        <w:t>15</w:t>
      </w:r>
      <w:r w:rsidRPr="00B73AD0">
        <w:rPr>
          <w:szCs w:val="24"/>
          <w:lang w:val="en-US" w:eastAsia="en-GB"/>
        </w:rPr>
        <w:t xml:space="preserve"> working days).</w:t>
      </w:r>
    </w:p>
    <w:p w14:paraId="0384D434" w14:textId="77777777" w:rsidR="00B73AD0" w:rsidRPr="00B73AD0" w:rsidRDefault="00B73AD0" w:rsidP="00B73AD0">
      <w:pPr>
        <w:tabs>
          <w:tab w:val="left" w:pos="426"/>
        </w:tabs>
        <w:spacing w:after="0"/>
        <w:ind w:left="426"/>
        <w:rPr>
          <w:szCs w:val="24"/>
          <w:lang w:val="en-US" w:eastAsia="en-GB"/>
        </w:rPr>
      </w:pPr>
    </w:p>
    <w:p w14:paraId="05820695" w14:textId="21BDA218" w:rsidR="00B73AD0" w:rsidRDefault="00B73AD0" w:rsidP="00E82E76">
      <w:pPr>
        <w:tabs>
          <w:tab w:val="left" w:pos="426"/>
        </w:tabs>
        <w:spacing w:after="0"/>
        <w:rPr>
          <w:szCs w:val="24"/>
          <w:lang w:val="en-US" w:eastAsia="en-GB"/>
        </w:rPr>
      </w:pPr>
      <w:r w:rsidRPr="00B73AD0">
        <w:rPr>
          <w:szCs w:val="24"/>
          <w:lang w:val="en-US" w:eastAsia="en-GB"/>
        </w:rPr>
        <w:t>However, in line with Article 25 of the Regulation, the data controller may restrict the rights of the data subjects based on the Decision of the Steering Committee (2020) 26 of 14/10/20 (OJEU L 45 on 9.2.2021, p. 80), in case where such restriction constitutes a measure necessary to safeguard the protection of the data subjects or the rights and freedoms of other data subjects, etc.</w:t>
      </w:r>
    </w:p>
    <w:p w14:paraId="03003569" w14:textId="3A0DA395" w:rsidR="00E82E76" w:rsidRDefault="00E82E76" w:rsidP="00E82E76">
      <w:pPr>
        <w:tabs>
          <w:tab w:val="left" w:pos="426"/>
        </w:tabs>
        <w:spacing w:after="0"/>
        <w:rPr>
          <w:szCs w:val="24"/>
          <w:lang w:val="en-US" w:eastAsia="en-GB"/>
        </w:rPr>
      </w:pPr>
    </w:p>
    <w:p w14:paraId="2F5AC51C" w14:textId="77777777" w:rsidR="00E82E76" w:rsidRPr="00E82E76" w:rsidRDefault="00E82E76" w:rsidP="00E82E76">
      <w:pPr>
        <w:tabs>
          <w:tab w:val="left" w:pos="426"/>
        </w:tabs>
        <w:spacing w:after="0"/>
        <w:rPr>
          <w:szCs w:val="24"/>
          <w:lang w:eastAsia="en-GB"/>
        </w:rPr>
      </w:pPr>
      <w:r w:rsidRPr="00E82E76">
        <w:rPr>
          <w:szCs w:val="24"/>
          <w:lang w:eastAsia="en-GB"/>
        </w:rPr>
        <w:t xml:space="preserve">In order to grant or not the data subjects rights, CINEA will carry out a case-by-case assessment of each individual request and give the reasons underlying its decision, considering the type of information held and whether any exceptions of the internal rules are applicable. </w:t>
      </w:r>
    </w:p>
    <w:p w14:paraId="250E467F" w14:textId="77777777" w:rsidR="00E82E76" w:rsidRDefault="00E82E76" w:rsidP="00E82E76">
      <w:pPr>
        <w:tabs>
          <w:tab w:val="left" w:pos="426"/>
        </w:tabs>
        <w:spacing w:after="0"/>
        <w:rPr>
          <w:szCs w:val="24"/>
          <w:lang w:eastAsia="en-GB"/>
        </w:rPr>
      </w:pPr>
    </w:p>
    <w:p w14:paraId="48487F7D" w14:textId="4BCA2585" w:rsidR="00E82E76" w:rsidRPr="00E82E76" w:rsidRDefault="00E82E76" w:rsidP="00E82E76">
      <w:pPr>
        <w:tabs>
          <w:tab w:val="left" w:pos="426"/>
        </w:tabs>
        <w:spacing w:after="0"/>
        <w:rPr>
          <w:szCs w:val="24"/>
          <w:lang w:val="en-US" w:eastAsia="en-GB"/>
        </w:rPr>
      </w:pPr>
      <w:r w:rsidRPr="00E82E76">
        <w:rPr>
          <w:szCs w:val="24"/>
          <w:lang w:eastAsia="en-GB"/>
        </w:rPr>
        <w:t>The restrictions will continue applying as long as the reasons justifying them remain applicable and may be lifted if these reasons would no longer apply, if the exercise of the restricted right would no longer negatively impact the applicable procedure or adversely affect the rights or freedoms of the data subjects</w:t>
      </w:r>
      <w:r w:rsidRPr="00E82E76">
        <w:rPr>
          <w:szCs w:val="24"/>
          <w:lang w:val="en-US" w:eastAsia="en-GB"/>
        </w:rPr>
        <w:t>.</w:t>
      </w:r>
    </w:p>
    <w:p w14:paraId="6843329B" w14:textId="77777777" w:rsidR="00B73AD0" w:rsidRPr="00B73AD0" w:rsidRDefault="00B73AD0" w:rsidP="00B73AD0">
      <w:pPr>
        <w:tabs>
          <w:tab w:val="left" w:pos="426"/>
        </w:tabs>
        <w:spacing w:after="0"/>
        <w:ind w:left="426"/>
        <w:rPr>
          <w:szCs w:val="24"/>
          <w:lang w:val="en-US" w:eastAsia="en-GB"/>
        </w:rPr>
      </w:pPr>
    </w:p>
    <w:p w14:paraId="74F95227" w14:textId="77777777" w:rsidR="00B73AD0" w:rsidRPr="00B73AD0" w:rsidRDefault="00B73AD0" w:rsidP="00B73AD0">
      <w:pPr>
        <w:numPr>
          <w:ilvl w:val="0"/>
          <w:numId w:val="23"/>
        </w:numPr>
        <w:tabs>
          <w:tab w:val="left" w:pos="426"/>
        </w:tabs>
        <w:spacing w:after="0"/>
        <w:ind w:left="426" w:hanging="426"/>
        <w:rPr>
          <w:b/>
          <w:szCs w:val="24"/>
          <w:lang w:val="en-US" w:eastAsia="en-GB"/>
        </w:rPr>
      </w:pPr>
      <w:r w:rsidRPr="00B73AD0">
        <w:rPr>
          <w:b/>
          <w:szCs w:val="24"/>
          <w:lang w:val="en-US" w:eastAsia="en-GB"/>
        </w:rPr>
        <w:t>How does CINEA protect and safeguard your data?</w:t>
      </w:r>
    </w:p>
    <w:p w14:paraId="47545851" w14:textId="5381C681" w:rsidR="00E82E76" w:rsidRDefault="00A30ABF" w:rsidP="00A163E2">
      <w:pPr>
        <w:tabs>
          <w:tab w:val="left" w:pos="426"/>
        </w:tabs>
        <w:spacing w:after="0"/>
        <w:rPr>
          <w:i/>
          <w:color w:val="0070C0"/>
          <w:szCs w:val="24"/>
          <w:lang w:val="en-US" w:eastAsia="en-GB"/>
        </w:rPr>
      </w:pPr>
      <w:r>
        <w:rPr>
          <w:i/>
          <w:color w:val="0070C0"/>
          <w:szCs w:val="24"/>
          <w:lang w:val="en-US" w:eastAsia="en-GB"/>
        </w:rPr>
        <w:t>(</w:t>
      </w:r>
      <w:r w:rsidR="00E82E76">
        <w:rPr>
          <w:i/>
          <w:color w:val="0070C0"/>
          <w:szCs w:val="24"/>
          <w:lang w:val="en-US" w:eastAsia="en-GB"/>
        </w:rPr>
        <w:t>Please modify as appropriate or discuss with your Contract Manager in CINEA in case of doubts</w:t>
      </w:r>
      <w:r>
        <w:rPr>
          <w:i/>
          <w:color w:val="0070C0"/>
          <w:szCs w:val="24"/>
          <w:lang w:val="en-US" w:eastAsia="en-GB"/>
        </w:rPr>
        <w:t>)</w:t>
      </w:r>
      <w:r w:rsidR="00E82E76">
        <w:rPr>
          <w:i/>
          <w:color w:val="0070C0"/>
          <w:szCs w:val="24"/>
          <w:lang w:val="en-US" w:eastAsia="en-GB"/>
        </w:rPr>
        <w:t>.</w:t>
      </w:r>
    </w:p>
    <w:p w14:paraId="0C811A61" w14:textId="77777777" w:rsidR="00A163E2" w:rsidRDefault="00A163E2" w:rsidP="00A163E2">
      <w:pPr>
        <w:tabs>
          <w:tab w:val="left" w:pos="426"/>
        </w:tabs>
        <w:spacing w:after="0"/>
        <w:rPr>
          <w:i/>
          <w:color w:val="0070C0"/>
          <w:szCs w:val="24"/>
          <w:lang w:val="en-US" w:eastAsia="en-GB"/>
        </w:rPr>
      </w:pPr>
    </w:p>
    <w:p w14:paraId="14C48A4A" w14:textId="77777777" w:rsidR="00A163E2" w:rsidRPr="0087483B" w:rsidRDefault="00A163E2" w:rsidP="00A163E2">
      <w:pPr>
        <w:tabs>
          <w:tab w:val="left" w:pos="426"/>
        </w:tabs>
        <w:spacing w:before="4" w:after="120"/>
        <w:rPr>
          <w:szCs w:val="24"/>
        </w:rPr>
      </w:pPr>
      <w:r w:rsidRPr="0087483B">
        <w:rPr>
          <w:szCs w:val="24"/>
        </w:rPr>
        <w:t xml:space="preserve">All personal data in electronic format (e-mails, documents, databases, uploaded batches of data, etc.) are stored on the servers of the European Commission, </w:t>
      </w:r>
      <w:r>
        <w:rPr>
          <w:szCs w:val="24"/>
        </w:rPr>
        <w:t>CINEA</w:t>
      </w:r>
      <w:r w:rsidRPr="0087483B">
        <w:rPr>
          <w:szCs w:val="24"/>
        </w:rPr>
        <w:t xml:space="preserve"> or of its contractors</w:t>
      </w:r>
      <w:r>
        <w:rPr>
          <w:szCs w:val="24"/>
        </w:rPr>
        <w:t xml:space="preserve"> (and possibly their subcontractors)</w:t>
      </w:r>
      <w:r w:rsidRPr="0087483B">
        <w:rPr>
          <w:szCs w:val="24"/>
        </w:rPr>
        <w:t xml:space="preserve">. </w:t>
      </w:r>
    </w:p>
    <w:p w14:paraId="52F9E8D6" w14:textId="77777777" w:rsidR="00A163E2" w:rsidRPr="0087483B" w:rsidRDefault="00A163E2" w:rsidP="00A163E2">
      <w:pPr>
        <w:tabs>
          <w:tab w:val="left" w:pos="426"/>
        </w:tabs>
        <w:spacing w:before="4" w:after="120"/>
        <w:rPr>
          <w:szCs w:val="24"/>
        </w:rPr>
      </w:pPr>
      <w:r w:rsidRPr="0087483B">
        <w:rPr>
          <w:szCs w:val="24"/>
        </w:rPr>
        <w:t xml:space="preserve">All processing operations are carried out pursuant to Commission Decision (EU, Euratom) 2017/46 of 10 January 2017 on the security of communication and information systems in the European Commission. </w:t>
      </w:r>
    </w:p>
    <w:p w14:paraId="58663D2C" w14:textId="77777777" w:rsidR="00A163E2" w:rsidRPr="0087483B" w:rsidRDefault="00A163E2" w:rsidP="00A163E2">
      <w:pPr>
        <w:tabs>
          <w:tab w:val="left" w:pos="426"/>
        </w:tabs>
        <w:spacing w:before="4" w:after="120"/>
        <w:rPr>
          <w:szCs w:val="24"/>
        </w:rPr>
      </w:pPr>
      <w:r w:rsidRPr="0087483B">
        <w:rPr>
          <w:szCs w:val="24"/>
        </w:rPr>
        <w:t xml:space="preserve">In order to protect your personal data, </w:t>
      </w:r>
      <w:r>
        <w:rPr>
          <w:szCs w:val="24"/>
        </w:rPr>
        <w:t>CINEA</w:t>
      </w:r>
      <w:r w:rsidRPr="0087483B">
        <w:rPr>
          <w:szCs w:val="24"/>
        </w:rPr>
        <w:t xml:space="preserve">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 </w:t>
      </w:r>
    </w:p>
    <w:p w14:paraId="65459C3F" w14:textId="23FE8739" w:rsidR="00A163E2" w:rsidRPr="00A163E2" w:rsidRDefault="00A163E2" w:rsidP="00A163E2">
      <w:pPr>
        <w:tabs>
          <w:tab w:val="left" w:pos="426"/>
        </w:tabs>
        <w:spacing w:before="4" w:after="120"/>
        <w:rPr>
          <w:szCs w:val="24"/>
        </w:rPr>
      </w:pPr>
      <w:r w:rsidRPr="00A163E2">
        <w:rPr>
          <w:szCs w:val="24"/>
        </w:rPr>
        <w:t>The processors (contractors and their sub-contractors) are bound by a specific contractual clause for any processing operations of your personal data on behalf of the data controller. The processors have put in place appropriate technical and organisational measures to ensure the required level of security.</w:t>
      </w:r>
    </w:p>
    <w:p w14:paraId="4985A85A" w14:textId="77777777" w:rsidR="00B73AD0" w:rsidRPr="00B73AD0" w:rsidRDefault="00B73AD0" w:rsidP="00B73AD0">
      <w:pPr>
        <w:tabs>
          <w:tab w:val="left" w:pos="426"/>
        </w:tabs>
        <w:spacing w:after="0"/>
        <w:rPr>
          <w:szCs w:val="24"/>
          <w:lang w:eastAsia="en-GB"/>
        </w:rPr>
      </w:pPr>
    </w:p>
    <w:p w14:paraId="27985F23" w14:textId="77777777" w:rsidR="00B73AD0" w:rsidRPr="00B73AD0" w:rsidRDefault="00B73AD0" w:rsidP="00B73AD0">
      <w:pPr>
        <w:numPr>
          <w:ilvl w:val="0"/>
          <w:numId w:val="23"/>
        </w:numPr>
        <w:tabs>
          <w:tab w:val="left" w:pos="426"/>
        </w:tabs>
        <w:spacing w:after="0"/>
        <w:ind w:left="426" w:hanging="426"/>
        <w:rPr>
          <w:szCs w:val="24"/>
          <w:lang w:eastAsia="en-GB"/>
        </w:rPr>
      </w:pPr>
      <w:r w:rsidRPr="00B73AD0">
        <w:rPr>
          <w:b/>
          <w:szCs w:val="24"/>
          <w:lang w:eastAsia="en-GB"/>
        </w:rPr>
        <w:t>The legal basis of the processing</w:t>
      </w:r>
      <w:r w:rsidRPr="00B73AD0">
        <w:rPr>
          <w:szCs w:val="24"/>
          <w:lang w:eastAsia="en-GB"/>
        </w:rPr>
        <w:t xml:space="preserve"> </w:t>
      </w:r>
      <w:r w:rsidRPr="00B73AD0">
        <w:rPr>
          <w:b/>
          <w:bCs/>
          <w:szCs w:val="24"/>
          <w:lang w:eastAsia="en-GB"/>
        </w:rPr>
        <w:t>are</w:t>
      </w:r>
      <w:r w:rsidRPr="00B73AD0">
        <w:rPr>
          <w:szCs w:val="24"/>
          <w:lang w:eastAsia="en-GB"/>
        </w:rPr>
        <w:t>:</w:t>
      </w:r>
    </w:p>
    <w:p w14:paraId="14412540" w14:textId="2CC8E33F" w:rsidR="00A163E2" w:rsidRDefault="00A30ABF" w:rsidP="00A163E2">
      <w:pPr>
        <w:spacing w:after="0"/>
        <w:rPr>
          <w:i/>
          <w:color w:val="0070C0"/>
          <w:szCs w:val="24"/>
          <w:lang w:eastAsia="en-GB"/>
        </w:rPr>
      </w:pPr>
      <w:r>
        <w:rPr>
          <w:i/>
          <w:color w:val="0070C0"/>
          <w:szCs w:val="24"/>
          <w:lang w:eastAsia="en-GB"/>
        </w:rPr>
        <w:t>(</w:t>
      </w:r>
      <w:r w:rsidR="00B73AD0" w:rsidRPr="00B73AD0">
        <w:rPr>
          <w:i/>
          <w:color w:val="0070C0"/>
          <w:szCs w:val="24"/>
          <w:lang w:eastAsia="en-GB"/>
        </w:rPr>
        <w:t xml:space="preserve">Please discuss with your </w:t>
      </w:r>
      <w:r w:rsidR="00A163E2">
        <w:rPr>
          <w:i/>
          <w:color w:val="0070C0"/>
          <w:szCs w:val="24"/>
          <w:lang w:eastAsia="en-GB"/>
        </w:rPr>
        <w:t>Contract Manager in CINEA</w:t>
      </w:r>
      <w:r w:rsidR="00B73AD0" w:rsidRPr="00B73AD0">
        <w:rPr>
          <w:i/>
          <w:color w:val="0070C0"/>
          <w:szCs w:val="24"/>
          <w:lang w:eastAsia="en-GB"/>
        </w:rPr>
        <w:t xml:space="preserve"> </w:t>
      </w:r>
      <w:r w:rsidR="00690327">
        <w:rPr>
          <w:i/>
          <w:color w:val="0070C0"/>
          <w:szCs w:val="24"/>
          <w:lang w:eastAsia="en-GB"/>
        </w:rPr>
        <w:t>and</w:t>
      </w:r>
      <w:r w:rsidR="00B73AD0" w:rsidRPr="00B73AD0">
        <w:rPr>
          <w:i/>
          <w:color w:val="0070C0"/>
          <w:szCs w:val="24"/>
          <w:lang w:eastAsia="en-GB"/>
        </w:rPr>
        <w:t xml:space="preserve"> indicate the legal basis for the processing activity, for instance</w:t>
      </w:r>
      <w:r>
        <w:rPr>
          <w:i/>
          <w:color w:val="0070C0"/>
          <w:szCs w:val="24"/>
          <w:lang w:eastAsia="en-GB"/>
        </w:rPr>
        <w:t xml:space="preserve"> see below)</w:t>
      </w:r>
    </w:p>
    <w:p w14:paraId="33A2C696" w14:textId="77777777" w:rsidR="00A163E2" w:rsidRDefault="00A163E2" w:rsidP="00A163E2">
      <w:pPr>
        <w:spacing w:before="4" w:after="120"/>
        <w:jc w:val="left"/>
        <w:rPr>
          <w:i/>
          <w:color w:val="0070C0"/>
          <w:szCs w:val="24"/>
          <w:lang w:eastAsia="en-GB"/>
        </w:rPr>
      </w:pPr>
    </w:p>
    <w:p w14:paraId="417E9124" w14:textId="37B847AF" w:rsidR="00A163E2" w:rsidRPr="00A163E2" w:rsidRDefault="00A163E2" w:rsidP="00A163E2">
      <w:pPr>
        <w:spacing w:before="4" w:after="0"/>
        <w:jc w:val="left"/>
        <w:rPr>
          <w:szCs w:val="24"/>
          <w:lang w:eastAsia="en-GB"/>
        </w:rPr>
      </w:pPr>
      <w:r>
        <w:rPr>
          <w:szCs w:val="24"/>
          <w:lang w:eastAsia="en-GB"/>
        </w:rPr>
        <w:lastRenderedPageBreak/>
        <w:t>i</w:t>
      </w:r>
      <w:r w:rsidRPr="000F667C">
        <w:rPr>
          <w:szCs w:val="24"/>
          <w:lang w:eastAsia="en-GB"/>
        </w:rPr>
        <w:t xml:space="preserve">n accordance </w:t>
      </w:r>
      <w:r>
        <w:rPr>
          <w:szCs w:val="24"/>
          <w:lang w:eastAsia="en-GB"/>
        </w:rPr>
        <w:t xml:space="preserve">with </w:t>
      </w:r>
      <w:bookmarkStart w:id="0" w:name="_Hlk137052751"/>
      <w:r w:rsidRPr="000F667C">
        <w:rPr>
          <w:szCs w:val="24"/>
          <w:lang w:eastAsia="en-GB"/>
        </w:rPr>
        <w:t>Article 5(1)(a) of</w:t>
      </w:r>
      <w:r>
        <w:rPr>
          <w:szCs w:val="24"/>
          <w:lang w:eastAsia="en-GB"/>
        </w:rPr>
        <w:t xml:space="preserve"> the R</w:t>
      </w:r>
      <w:r w:rsidRPr="000F667C">
        <w:rPr>
          <w:szCs w:val="24"/>
          <w:lang w:eastAsia="en-GB"/>
        </w:rPr>
        <w:t>egulation</w:t>
      </w:r>
      <w:r>
        <w:rPr>
          <w:szCs w:val="24"/>
          <w:lang w:eastAsia="en-GB"/>
        </w:rPr>
        <w:t xml:space="preserve"> </w:t>
      </w:r>
      <w:bookmarkEnd w:id="0"/>
      <w:r>
        <w:rPr>
          <w:szCs w:val="24"/>
          <w:lang w:eastAsia="en-GB"/>
        </w:rPr>
        <w:t>(</w:t>
      </w:r>
      <w:r w:rsidRPr="000F667C">
        <w:rPr>
          <w:szCs w:val="24"/>
          <w:lang w:eastAsia="en-GB"/>
        </w:rPr>
        <w:t>processing is necessary</w:t>
      </w:r>
      <w:r>
        <w:rPr>
          <w:szCs w:val="24"/>
          <w:lang w:eastAsia="en-GB"/>
        </w:rPr>
        <w:t xml:space="preserve"> </w:t>
      </w:r>
      <w:r w:rsidRPr="000F667C">
        <w:rPr>
          <w:szCs w:val="24"/>
          <w:lang w:eastAsia="en-GB"/>
        </w:rPr>
        <w:t xml:space="preserve">for the performance of a task carried out in the public interest including for the management and functioning of </w:t>
      </w:r>
      <w:r>
        <w:rPr>
          <w:szCs w:val="24"/>
          <w:lang w:eastAsia="en-GB"/>
        </w:rPr>
        <w:t>CINEA) [</w:t>
      </w:r>
      <w:r w:rsidRPr="00A163E2">
        <w:rPr>
          <w:szCs w:val="24"/>
          <w:lang w:eastAsia="en-GB"/>
        </w:rPr>
        <w:t xml:space="preserve">and Article 5(1)(d) of the Regulation (consent of the </w:t>
      </w:r>
    </w:p>
    <w:p w14:paraId="2F92EED7" w14:textId="77777777" w:rsidR="00A163E2" w:rsidRPr="0087483B" w:rsidRDefault="00A163E2" w:rsidP="00A163E2">
      <w:pPr>
        <w:spacing w:before="4" w:after="120"/>
        <w:jc w:val="left"/>
        <w:rPr>
          <w:szCs w:val="24"/>
          <w:lang w:eastAsia="en-GB"/>
        </w:rPr>
      </w:pPr>
      <w:r w:rsidRPr="00A163E2">
        <w:rPr>
          <w:szCs w:val="24"/>
          <w:lang w:eastAsia="en-GB"/>
        </w:rPr>
        <w:t>data subject)</w:t>
      </w:r>
      <w:r>
        <w:rPr>
          <w:szCs w:val="24"/>
          <w:lang w:eastAsia="en-GB"/>
        </w:rPr>
        <w:t xml:space="preserve">], notably:  </w:t>
      </w:r>
      <w:r w:rsidRPr="000F667C">
        <w:rPr>
          <w:szCs w:val="24"/>
          <w:lang w:eastAsia="en-GB"/>
        </w:rPr>
        <w:t xml:space="preserve">  </w:t>
      </w:r>
    </w:p>
    <w:p w14:paraId="32E18300" w14:textId="77777777" w:rsidR="00A163E2" w:rsidRPr="00961F70" w:rsidRDefault="00A163E2" w:rsidP="00A163E2">
      <w:pPr>
        <w:pStyle w:val="ListParagraph"/>
        <w:numPr>
          <w:ilvl w:val="0"/>
          <w:numId w:val="31"/>
        </w:numPr>
        <w:spacing w:before="4" w:after="120"/>
        <w:ind w:left="720"/>
        <w:rPr>
          <w:szCs w:val="24"/>
          <w:lang w:eastAsia="en-GB"/>
        </w:rPr>
      </w:pPr>
      <w:r w:rsidRPr="00DA1689">
        <w:rPr>
          <w:szCs w:val="24"/>
          <w:lang w:eastAsia="en-GB"/>
        </w:rPr>
        <w:t>Council Regulation 58/2003 of 19 December 2002, laying down the Statute for executive agencies to be entrusted with certain tasks in the management of EU programmes;</w:t>
      </w:r>
    </w:p>
    <w:p w14:paraId="106B6920" w14:textId="337A3790" w:rsidR="00A163E2" w:rsidRDefault="00A163E2" w:rsidP="00A163E2">
      <w:pPr>
        <w:pStyle w:val="ListParagraph"/>
        <w:numPr>
          <w:ilvl w:val="0"/>
          <w:numId w:val="31"/>
        </w:numPr>
        <w:spacing w:before="4" w:after="120"/>
        <w:ind w:left="720"/>
        <w:rPr>
          <w:szCs w:val="24"/>
          <w:lang w:eastAsia="en-GB"/>
        </w:rPr>
      </w:pPr>
      <w:r w:rsidRPr="00DA1689">
        <w:rPr>
          <w:szCs w:val="24"/>
          <w:lang w:eastAsia="en-GB"/>
        </w:rPr>
        <w:t>Regulation (EC) n° 1653/2004 of 21 September 2004 on a standard Financial Regulation for the executive agencies pursuant to Council Regulation (EC) n°58/2003 of 19 December 2002 laying down the statute for executive agencies to be entrusted with certain tasks in the management of Community programme;</w:t>
      </w:r>
    </w:p>
    <w:p w14:paraId="55426637" w14:textId="0964EBED" w:rsidR="00A163E2" w:rsidRPr="00C56CEF" w:rsidRDefault="00A163E2" w:rsidP="00A163E2">
      <w:pPr>
        <w:pStyle w:val="ListParagraph"/>
        <w:numPr>
          <w:ilvl w:val="0"/>
          <w:numId w:val="31"/>
        </w:numPr>
        <w:spacing w:before="4" w:after="120"/>
        <w:ind w:left="720"/>
        <w:rPr>
          <w:szCs w:val="24"/>
          <w:lang w:eastAsia="en-GB"/>
        </w:rPr>
      </w:pPr>
      <w:r w:rsidRPr="00803FCD">
        <w:rPr>
          <w:szCs w:val="24"/>
          <w:lang w:eastAsia="en-GB"/>
        </w:rPr>
        <w:t>Regulation (EU) No 508/2014 of the European Parliament and of the Council of 15 May 2014 on the European Maritime and Fisheries Fund and repealing Council Regulations (EC) No 328/2003, (EC) No 861/2006, (EC) No 1198/2006 and (EC) No 791/2007 and Regulation (EU) No 1255/2011 of the European Parliament and of the Council</w:t>
      </w:r>
      <w:r>
        <w:rPr>
          <w:szCs w:val="24"/>
          <w:lang w:eastAsia="en-GB"/>
        </w:rPr>
        <w:t>;</w:t>
      </w:r>
      <w:r>
        <w:rPr>
          <w:szCs w:val="24"/>
          <w:lang w:eastAsia="en-GB"/>
        </w:rPr>
        <w:t xml:space="preserve"> </w:t>
      </w:r>
      <w:r w:rsidRPr="00A163E2">
        <w:rPr>
          <w:i/>
          <w:color w:val="0070C0"/>
          <w:szCs w:val="24"/>
          <w:lang w:eastAsia="en-GB"/>
        </w:rPr>
        <w:t>(for EMFF)</w:t>
      </w:r>
    </w:p>
    <w:p w14:paraId="03ACA71A" w14:textId="6E790CAA" w:rsidR="00A163E2" w:rsidRPr="00961F70" w:rsidRDefault="00A163E2" w:rsidP="00A163E2">
      <w:pPr>
        <w:pStyle w:val="ListParagraph"/>
        <w:numPr>
          <w:ilvl w:val="0"/>
          <w:numId w:val="31"/>
        </w:numPr>
        <w:spacing w:before="4" w:after="120"/>
        <w:ind w:left="720"/>
        <w:rPr>
          <w:szCs w:val="24"/>
          <w:lang w:eastAsia="en-GB"/>
        </w:rPr>
      </w:pPr>
      <w:r w:rsidRPr="00AC4C85">
        <w:rPr>
          <w:rFonts w:eastAsia="Calibri"/>
          <w:szCs w:val="24"/>
          <w:lang w:val="en-US" w:eastAsia="en-GB"/>
        </w:rPr>
        <w:t>Regulation (EU) 2021/1139 of the European Parliament and of the Council of 7 July 2021 establishing the European Maritime, Fisheries and Aquaculture Fund and amending Regulation (EU) 2017/1004;</w:t>
      </w:r>
      <w:r>
        <w:rPr>
          <w:rFonts w:eastAsia="Calibri"/>
          <w:szCs w:val="24"/>
          <w:lang w:val="en-US" w:eastAsia="en-GB"/>
        </w:rPr>
        <w:t xml:space="preserve"> </w:t>
      </w:r>
      <w:r w:rsidRPr="00A163E2">
        <w:rPr>
          <w:i/>
          <w:color w:val="0070C0"/>
          <w:szCs w:val="24"/>
          <w:lang w:eastAsia="en-GB"/>
        </w:rPr>
        <w:t>(for EMFAF)</w:t>
      </w:r>
    </w:p>
    <w:p w14:paraId="119345F3" w14:textId="77777777" w:rsidR="00A163E2" w:rsidRPr="00EC389A" w:rsidRDefault="00A163E2" w:rsidP="00A163E2">
      <w:pPr>
        <w:pStyle w:val="ListParagraph"/>
        <w:numPr>
          <w:ilvl w:val="0"/>
          <w:numId w:val="31"/>
        </w:numPr>
        <w:spacing w:before="4" w:after="120"/>
        <w:ind w:left="720"/>
        <w:rPr>
          <w:szCs w:val="24"/>
          <w:lang w:eastAsia="en-GB"/>
        </w:rPr>
      </w:pPr>
      <w:r w:rsidRPr="00EC389A">
        <w:rPr>
          <w:szCs w:val="24"/>
          <w:lang w:eastAsia="en-GB"/>
        </w:rPr>
        <w:t>Regulation 2018/1046 of the European Parliament and of the Council of 18 July 2018 on the financial rules applicable to the general budget of the Union, repealing Regulation No 966/2012</w:t>
      </w:r>
      <w:r>
        <w:rPr>
          <w:szCs w:val="24"/>
          <w:lang w:eastAsia="en-GB"/>
        </w:rPr>
        <w:t>;</w:t>
      </w:r>
    </w:p>
    <w:p w14:paraId="59EF22EA" w14:textId="77777777" w:rsidR="00A163E2" w:rsidRPr="00961F70" w:rsidRDefault="00A163E2" w:rsidP="00A163E2">
      <w:pPr>
        <w:pStyle w:val="ListParagraph"/>
        <w:numPr>
          <w:ilvl w:val="0"/>
          <w:numId w:val="31"/>
        </w:numPr>
        <w:spacing w:before="4" w:after="120"/>
        <w:ind w:left="720"/>
        <w:rPr>
          <w:szCs w:val="24"/>
          <w:lang w:eastAsia="en-GB"/>
        </w:rPr>
      </w:pPr>
      <w:r>
        <w:t>Commission Implementing Decision (EU) 2021/173 of 12 February 2021 establishing the European Climate, Infrastructure and Environment Executive Agency, the European Health and Digital Executive Agency, the European Research Executive Agency, the European Innovation Council and SMEs Executive Agency, the European Research Council Executive Agency, and the European Education and Culture Executive Agency and repealing Implementing Decisions 2013/801/EU, 2013/771/EU, 2013/778/EU, 2013/779/EU, 2013/776/EU and 2013/770/EU</w:t>
      </w:r>
      <w:r>
        <w:rPr>
          <w:szCs w:val="24"/>
          <w:lang w:eastAsia="en-GB"/>
        </w:rPr>
        <w:t>;</w:t>
      </w:r>
    </w:p>
    <w:p w14:paraId="1B867E69" w14:textId="473144CD" w:rsidR="00B73AD0" w:rsidRPr="00B73AD0" w:rsidRDefault="00A163E2" w:rsidP="00A163E2">
      <w:pPr>
        <w:pStyle w:val="ListParagraph"/>
        <w:numPr>
          <w:ilvl w:val="0"/>
          <w:numId w:val="31"/>
        </w:numPr>
        <w:spacing w:before="4" w:after="0"/>
        <w:ind w:left="720"/>
        <w:rPr>
          <w:i/>
          <w:color w:val="0070C0"/>
          <w:szCs w:val="24"/>
          <w:lang w:eastAsia="en-GB"/>
        </w:rPr>
      </w:pPr>
      <w:r w:rsidRPr="00D914EE">
        <w:rPr>
          <w:szCs w:val="24"/>
          <w:lang w:eastAsia="en-GB"/>
        </w:rPr>
        <w:t>Commission Decision C(2021)947 of 12 February 2021 delegating powers to the European Climate, Infrastructure and Environment Executive Agency with a view to the performance of tasks linked to the implementation of Union programmes in the field of transport and energy infrastructure; climate, energy and mobility research and innovation; environment, nature and biodiversity; transition to low-carbon technologies; and maritime and fisheries.</w:t>
      </w:r>
    </w:p>
    <w:p w14:paraId="38282D17" w14:textId="77777777" w:rsidR="00B73AD0" w:rsidRPr="00B73AD0" w:rsidRDefault="00B73AD0" w:rsidP="00B73AD0">
      <w:pPr>
        <w:spacing w:after="0"/>
        <w:ind w:left="426"/>
        <w:rPr>
          <w:szCs w:val="24"/>
          <w:lang w:eastAsia="en-GB"/>
        </w:rPr>
      </w:pPr>
    </w:p>
    <w:p w14:paraId="1C29FEF8" w14:textId="31C2B656" w:rsidR="00B73AD0" w:rsidRPr="00B73AD0" w:rsidRDefault="00B73AD0" w:rsidP="00690327">
      <w:pPr>
        <w:numPr>
          <w:ilvl w:val="0"/>
          <w:numId w:val="23"/>
        </w:numPr>
        <w:spacing w:after="0"/>
        <w:ind w:left="426" w:hanging="426"/>
        <w:rPr>
          <w:szCs w:val="24"/>
          <w:lang w:eastAsia="en-GB"/>
        </w:rPr>
      </w:pPr>
      <w:r w:rsidRPr="00B73AD0">
        <w:rPr>
          <w:szCs w:val="24"/>
          <w:lang w:eastAsia="en-GB"/>
        </w:rPr>
        <w:tab/>
      </w:r>
      <w:r w:rsidRPr="00B73AD0">
        <w:rPr>
          <w:bCs/>
          <w:szCs w:val="24"/>
          <w:lang w:eastAsia="en-GB"/>
        </w:rPr>
        <w:t>The</w:t>
      </w:r>
      <w:r w:rsidRPr="00B73AD0">
        <w:rPr>
          <w:szCs w:val="24"/>
          <w:lang w:eastAsia="en-GB"/>
        </w:rPr>
        <w:t xml:space="preserve"> </w:t>
      </w:r>
      <w:r w:rsidRPr="00B73AD0">
        <w:rPr>
          <w:b/>
          <w:szCs w:val="24"/>
          <w:lang w:eastAsia="en-GB"/>
        </w:rPr>
        <w:t xml:space="preserve">time limits for keeping </w:t>
      </w:r>
      <w:r w:rsidRPr="00B73AD0">
        <w:rPr>
          <w:szCs w:val="24"/>
          <w:lang w:eastAsia="en-GB"/>
        </w:rPr>
        <w:t>the data are the following:</w:t>
      </w:r>
    </w:p>
    <w:p w14:paraId="10A18867" w14:textId="4B28D151" w:rsidR="00463201" w:rsidRDefault="00DE2BF4" w:rsidP="00A30ABF">
      <w:pPr>
        <w:spacing w:after="0"/>
        <w:rPr>
          <w:i/>
          <w:color w:val="0070C0"/>
          <w:szCs w:val="24"/>
          <w:lang w:eastAsia="en-GB"/>
        </w:rPr>
      </w:pPr>
      <w:r>
        <w:rPr>
          <w:i/>
          <w:color w:val="0070C0"/>
          <w:szCs w:val="24"/>
          <w:lang w:eastAsia="en-GB"/>
        </w:rPr>
        <w:t>(</w:t>
      </w:r>
      <w:r w:rsidR="00463201" w:rsidRPr="00B73AD0">
        <w:rPr>
          <w:i/>
          <w:color w:val="0070C0"/>
          <w:szCs w:val="24"/>
          <w:lang w:eastAsia="en-GB"/>
        </w:rPr>
        <w:t xml:space="preserve">Please discuss with your </w:t>
      </w:r>
      <w:r w:rsidR="00463201">
        <w:rPr>
          <w:i/>
          <w:color w:val="0070C0"/>
          <w:szCs w:val="24"/>
          <w:lang w:eastAsia="en-GB"/>
        </w:rPr>
        <w:t>Contract Manager in CINEA</w:t>
      </w:r>
      <w:r w:rsidR="00463201" w:rsidRPr="00B73AD0">
        <w:rPr>
          <w:i/>
          <w:color w:val="0070C0"/>
          <w:szCs w:val="24"/>
          <w:lang w:eastAsia="en-GB"/>
        </w:rPr>
        <w:t xml:space="preserve"> &amp;</w:t>
      </w:r>
      <w:r w:rsidR="00463201">
        <w:rPr>
          <w:i/>
          <w:color w:val="0070C0"/>
          <w:szCs w:val="24"/>
          <w:lang w:eastAsia="en-GB"/>
        </w:rPr>
        <w:t xml:space="preserve"> update as applicable, depending on the type of activity for with the DPN is produced</w:t>
      </w:r>
      <w:r>
        <w:rPr>
          <w:i/>
          <w:color w:val="0070C0"/>
          <w:szCs w:val="24"/>
          <w:lang w:eastAsia="en-GB"/>
        </w:rPr>
        <w:t>).</w:t>
      </w:r>
    </w:p>
    <w:p w14:paraId="12273960" w14:textId="6F2F9CDC" w:rsidR="00B73AD0" w:rsidRDefault="00463201" w:rsidP="00B73AD0">
      <w:pPr>
        <w:spacing w:after="0"/>
        <w:ind w:left="426"/>
        <w:rPr>
          <w:i/>
          <w:color w:val="0070C0"/>
          <w:szCs w:val="24"/>
          <w:lang w:eastAsia="en-GB"/>
        </w:rPr>
      </w:pPr>
      <w:r>
        <w:rPr>
          <w:i/>
          <w:color w:val="0070C0"/>
          <w:szCs w:val="24"/>
          <w:lang w:eastAsia="en-GB"/>
        </w:rPr>
        <w:t xml:space="preserve"> </w:t>
      </w:r>
    </w:p>
    <w:p w14:paraId="05D0E415" w14:textId="3F3FAB49" w:rsidR="00B73AD0" w:rsidRPr="00DE2BF4" w:rsidRDefault="00853032" w:rsidP="00853032">
      <w:pPr>
        <w:spacing w:after="0"/>
        <w:rPr>
          <w:i/>
          <w:color w:val="0070C0"/>
          <w:szCs w:val="24"/>
          <w:lang w:eastAsia="en-GB"/>
        </w:rPr>
      </w:pPr>
      <w:r>
        <w:rPr>
          <w:szCs w:val="24"/>
        </w:rPr>
        <w:t>CINEA</w:t>
      </w:r>
      <w:r w:rsidRPr="0087483B">
        <w:rPr>
          <w:szCs w:val="24"/>
        </w:rPr>
        <w:t xml:space="preserve"> keep</w:t>
      </w:r>
      <w:r w:rsidR="0007268D">
        <w:rPr>
          <w:szCs w:val="24"/>
        </w:rPr>
        <w:t>s</w:t>
      </w:r>
      <w:r w:rsidRPr="0087483B">
        <w:rPr>
          <w:szCs w:val="24"/>
        </w:rPr>
        <w:t xml:space="preserve"> data in accordance with the 20</w:t>
      </w:r>
      <w:r>
        <w:rPr>
          <w:szCs w:val="24"/>
        </w:rPr>
        <w:t>22</w:t>
      </w:r>
      <w:r w:rsidRPr="0087483B">
        <w:rPr>
          <w:szCs w:val="24"/>
        </w:rPr>
        <w:t xml:space="preserve"> Retention List of the Commission</w:t>
      </w:r>
      <w:r>
        <w:rPr>
          <w:rStyle w:val="FootnoteReference"/>
          <w:szCs w:val="24"/>
        </w:rPr>
        <w:footnoteReference w:id="2"/>
      </w:r>
      <w:r>
        <w:rPr>
          <w:szCs w:val="24"/>
        </w:rPr>
        <w:t xml:space="preserve"> </w:t>
      </w:r>
      <w:r>
        <w:rPr>
          <w:szCs w:val="24"/>
        </w:rPr>
        <w:t>(</w:t>
      </w:r>
      <w:r w:rsidR="00DE2BF4" w:rsidRPr="00DE2BF4">
        <w:rPr>
          <w:szCs w:val="24"/>
        </w:rPr>
        <w:t>10</w:t>
      </w:r>
      <w:r w:rsidRPr="00DE2BF4">
        <w:rPr>
          <w:szCs w:val="24"/>
        </w:rPr>
        <w:t xml:space="preserve"> years </w:t>
      </w:r>
      <w:r w:rsidR="00DE2BF4" w:rsidRPr="00DE2BF4">
        <w:rPr>
          <w:szCs w:val="24"/>
        </w:rPr>
        <w:t>after the end of the contract</w:t>
      </w:r>
      <w:r w:rsidR="00DE2BF4">
        <w:rPr>
          <w:szCs w:val="24"/>
        </w:rPr>
        <w:t>/reception of last document</w:t>
      </w:r>
      <w:r w:rsidRPr="00DE2BF4">
        <w:rPr>
          <w:szCs w:val="24"/>
        </w:rPr>
        <w:t>)</w:t>
      </w:r>
      <w:r w:rsidR="00DE2BF4">
        <w:rPr>
          <w:szCs w:val="24"/>
        </w:rPr>
        <w:t>. The contractor keeps data in accordance with the time limit agreed with CINEA (</w:t>
      </w:r>
      <w:r w:rsidR="00DE2BF4" w:rsidRPr="00DE2BF4">
        <w:rPr>
          <w:szCs w:val="24"/>
          <w:highlight w:val="lightGray"/>
        </w:rPr>
        <w:t>xx</w:t>
      </w:r>
      <w:r w:rsidR="00DE2BF4">
        <w:rPr>
          <w:szCs w:val="24"/>
        </w:rPr>
        <w:t xml:space="preserve"> years after the end of the contract/payment of the balance) </w:t>
      </w:r>
      <w:r w:rsidR="00DE2BF4" w:rsidRPr="00DE2BF4">
        <w:rPr>
          <w:i/>
          <w:color w:val="0070C0"/>
          <w:szCs w:val="24"/>
          <w:lang w:eastAsia="en-GB"/>
        </w:rPr>
        <w:t>(Please check Art.II.9 and Art.II.24</w:t>
      </w:r>
      <w:r w:rsidR="00DE2BF4">
        <w:rPr>
          <w:i/>
          <w:color w:val="0070C0"/>
          <w:szCs w:val="24"/>
          <w:lang w:eastAsia="en-GB"/>
        </w:rPr>
        <w:t xml:space="preserve"> of your contract).</w:t>
      </w:r>
    </w:p>
    <w:p w14:paraId="79FC8E72" w14:textId="77777777" w:rsidR="00B73AD0" w:rsidRPr="00B73AD0" w:rsidRDefault="00B73AD0" w:rsidP="00B73AD0">
      <w:pPr>
        <w:spacing w:after="0"/>
        <w:ind w:left="426"/>
        <w:rPr>
          <w:szCs w:val="24"/>
          <w:lang w:eastAsia="en-GB"/>
        </w:rPr>
      </w:pPr>
    </w:p>
    <w:p w14:paraId="68F1B701" w14:textId="77777777" w:rsidR="00B73AD0" w:rsidRPr="00B73AD0" w:rsidRDefault="00B73AD0" w:rsidP="00B73AD0">
      <w:pPr>
        <w:numPr>
          <w:ilvl w:val="0"/>
          <w:numId w:val="23"/>
        </w:numPr>
        <w:spacing w:after="0"/>
        <w:ind w:left="426" w:hanging="426"/>
        <w:rPr>
          <w:b/>
          <w:szCs w:val="24"/>
          <w:lang w:eastAsia="en-GB"/>
        </w:rPr>
      </w:pPr>
      <w:r w:rsidRPr="00B73AD0">
        <w:rPr>
          <w:b/>
          <w:szCs w:val="24"/>
          <w:lang w:eastAsia="en-GB"/>
        </w:rPr>
        <w:t xml:space="preserve">Contact information </w:t>
      </w:r>
    </w:p>
    <w:p w14:paraId="6D07DE52" w14:textId="77777777" w:rsidR="00463201" w:rsidRDefault="00463201" w:rsidP="00463201">
      <w:pPr>
        <w:spacing w:after="0"/>
        <w:rPr>
          <w:szCs w:val="24"/>
          <w:lang w:eastAsia="en-US"/>
        </w:rPr>
      </w:pPr>
    </w:p>
    <w:p w14:paraId="41FBB12E" w14:textId="081F6A7D" w:rsidR="00B73AD0" w:rsidRPr="00B73AD0" w:rsidRDefault="00B73AD0" w:rsidP="00463201">
      <w:pPr>
        <w:spacing w:after="0"/>
        <w:rPr>
          <w:szCs w:val="24"/>
          <w:lang w:eastAsia="en-GB"/>
        </w:rPr>
      </w:pPr>
      <w:r w:rsidRPr="00B73AD0">
        <w:rPr>
          <w:szCs w:val="24"/>
          <w:lang w:eastAsia="en-GB"/>
        </w:rPr>
        <w:lastRenderedPageBreak/>
        <w:t>In case you have any questions about the collection/processing of your personal data, you may contact the data controller who is responsible for this processing activity by using the email address mentioned here above in Section 1</w:t>
      </w:r>
      <w:r w:rsidR="00463201">
        <w:rPr>
          <w:szCs w:val="24"/>
          <w:lang w:eastAsia="en-GB"/>
        </w:rPr>
        <w:t>.</w:t>
      </w:r>
      <w:r w:rsidRPr="00B73AD0">
        <w:rPr>
          <w:szCs w:val="24"/>
          <w:lang w:eastAsia="en-GB"/>
        </w:rPr>
        <w:t xml:space="preserve"> </w:t>
      </w:r>
    </w:p>
    <w:p w14:paraId="40293693" w14:textId="77777777" w:rsidR="00463201" w:rsidRDefault="00463201" w:rsidP="00463201">
      <w:pPr>
        <w:spacing w:after="0"/>
        <w:rPr>
          <w:szCs w:val="24"/>
          <w:lang w:eastAsia="en-GB"/>
        </w:rPr>
      </w:pPr>
    </w:p>
    <w:p w14:paraId="0F3A2CFC" w14:textId="61E8EF17" w:rsidR="00B73AD0" w:rsidRPr="00B73AD0" w:rsidRDefault="00B73AD0" w:rsidP="00463201">
      <w:pPr>
        <w:spacing w:after="0"/>
        <w:rPr>
          <w:szCs w:val="24"/>
          <w:lang w:eastAsia="en-GB"/>
        </w:rPr>
      </w:pPr>
      <w:r w:rsidRPr="00B73AD0">
        <w:rPr>
          <w:szCs w:val="24"/>
          <w:lang w:eastAsia="en-GB"/>
        </w:rPr>
        <w:t>You may contact at any time the Data Protection Officer of the Agency (</w:t>
      </w:r>
      <w:hyperlink r:id="rId13" w:history="1">
        <w:r w:rsidRPr="00B73AD0">
          <w:rPr>
            <w:color w:val="0000FF"/>
            <w:szCs w:val="24"/>
            <w:u w:val="single"/>
            <w:lang w:eastAsia="en-GB"/>
          </w:rPr>
          <w:t>CINEA-DPO@ec.europa.eu</w:t>
        </w:r>
      </w:hyperlink>
      <w:r w:rsidRPr="00B73AD0">
        <w:rPr>
          <w:szCs w:val="24"/>
          <w:lang w:eastAsia="en-GB"/>
        </w:rPr>
        <w:t>).  You have the right to have recourse at any time to the European Data Protection Supervisor (</w:t>
      </w:r>
      <w:hyperlink r:id="rId14" w:history="1">
        <w:r w:rsidRPr="00B73AD0">
          <w:rPr>
            <w:color w:val="0000FF"/>
            <w:szCs w:val="24"/>
            <w:u w:val="single"/>
            <w:lang w:eastAsia="en-GB"/>
          </w:rPr>
          <w:t>edps@edps.europa.eu</w:t>
        </w:r>
      </w:hyperlink>
      <w:r w:rsidRPr="00B73AD0">
        <w:rPr>
          <w:szCs w:val="24"/>
          <w:lang w:eastAsia="en-GB"/>
        </w:rPr>
        <w:t xml:space="preserve">). </w:t>
      </w:r>
    </w:p>
    <w:p w14:paraId="58364164" w14:textId="36334A46" w:rsidR="00D263B2" w:rsidRPr="00B73AD0" w:rsidRDefault="00D263B2">
      <w:pPr>
        <w:rPr>
          <w:szCs w:val="24"/>
        </w:rPr>
      </w:pPr>
    </w:p>
    <w:p w14:paraId="69477B5F" w14:textId="77777777" w:rsidR="00D263B2" w:rsidRDefault="00690327">
      <w:pPr>
        <w:pStyle w:val="EmptyParagraph"/>
      </w:pPr>
      <w:r>
        <w:t> </w:t>
      </w:r>
    </w:p>
    <w:sectPr w:rsidR="00D263B2">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30FF" w14:textId="77777777" w:rsidR="00B73AD0" w:rsidRDefault="00B73AD0">
      <w:pPr>
        <w:spacing w:after="0"/>
      </w:pPr>
      <w:r>
        <w:separator/>
      </w:r>
    </w:p>
  </w:endnote>
  <w:endnote w:type="continuationSeparator" w:id="0">
    <w:p w14:paraId="15DDADD7" w14:textId="77777777" w:rsidR="00B73AD0" w:rsidRDefault="00B73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717A" w14:textId="77777777" w:rsidR="00D263B2" w:rsidRDefault="00690327">
    <w:pPr>
      <w:pStyle w:val="FooterLine"/>
      <w:jc w:val="center"/>
    </w:pPr>
    <w:r>
      <w:fldChar w:fldCharType="begin"/>
    </w:r>
    <w:r>
      <w:instrText>PAGE   \* MERGEFORMAT</w:instrText>
    </w:r>
    <w:r>
      <w:fldChar w:fldCharType="separate"/>
    </w:r>
    <w:r w:rsidR="00B73AD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D38B" w14:textId="77777777" w:rsidR="00D263B2" w:rsidRDefault="00690327">
    <w:pPr>
      <w:pStyle w:val="FooterLine"/>
      <w:jc w:val="center"/>
    </w:pPr>
    <w:r>
      <w:fldChar w:fldCharType="begin"/>
    </w:r>
    <w:r>
      <w:instrText>PAGE   \* MERGEFORMAT</w:instrText>
    </w:r>
    <w:r>
      <w:fldChar w:fldCharType="separate"/>
    </w:r>
    <w:r w:rsidR="00B73AD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426696751"/>
    </w:sdtPr>
    <w:sdtEndPr/>
    <w:sdtContent>
      <w:p w14:paraId="5D63DBF5" w14:textId="77777777" w:rsidR="00D263B2" w:rsidRDefault="00D263B2">
        <w:pPr>
          <w:pStyle w:val="Footer"/>
          <w:rPr>
            <w:sz w:val="24"/>
          </w:rPr>
        </w:pPr>
      </w:p>
      <w:p w14:paraId="795D615C" w14:textId="5C0A1B41" w:rsidR="00D263B2" w:rsidRDefault="00690327">
        <w:pPr>
          <w:pStyle w:val="Footer"/>
        </w:pPr>
        <w:sdt>
          <w:sdtPr>
            <w:id w:val="-644748845"/>
            <w:dataBinding w:xpath="/Author/Addresses/Address[Id = 'efcd4ed3-2bc1-45b5-8bc8-5f5a834a7f49']/Footer" w:storeItemID="{83D59316-02CD-4BC8-AAB6-9C5851D02110}"/>
            <w:text w:multiLine="1"/>
          </w:sdtPr>
          <w:sdtEndPr/>
          <w:sdtContent>
            <w:r w:rsidR="004F11A2">
              <w:t>European Climate, Infrastructure and Environment Executive Agency (CINEA), B-1049 Brussels, BELGIUM</w:t>
            </w:r>
          </w:sdtContent>
        </w:sdt>
      </w:p>
    </w:sdtContent>
  </w:sdt>
  <w:p w14:paraId="0E6D04FB" w14:textId="124429F3" w:rsidR="00D263B2" w:rsidRDefault="00690327">
    <w:pPr>
      <w:pStyle w:val="Footer"/>
    </w:pPr>
    <w:sdt>
      <w:sdtPr>
        <w:alias w:val="Email Addresses - Standard"/>
        <w:tag w:val="lzJg88SOkI751vM69s8xi7-MjGgt6e7BqMZJMWY5fWzc6"/>
        <w:id w:val="-734853359"/>
        <w:dataBinding w:xpath="/Author/Email" w:storeItemID="{83D59316-02CD-4BC8-AAB6-9C5851D02110}"/>
        <w:text w:multiLine="1"/>
      </w:sdtPr>
      <w:sdtEndPr/>
      <w:sdtContent>
        <w:r w:rsidR="00C664D8">
          <w:t>CINEA-EMFAF-CONTRACTS@ec.europa.eu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469D" w14:textId="77777777" w:rsidR="00B73AD0" w:rsidRDefault="00B73AD0">
      <w:pPr>
        <w:spacing w:after="0"/>
      </w:pPr>
      <w:r>
        <w:separator/>
      </w:r>
    </w:p>
  </w:footnote>
  <w:footnote w:type="continuationSeparator" w:id="0">
    <w:p w14:paraId="4CADC932" w14:textId="77777777" w:rsidR="00B73AD0" w:rsidRDefault="00B73AD0">
      <w:pPr>
        <w:spacing w:after="0"/>
      </w:pPr>
      <w:r>
        <w:continuationSeparator/>
      </w:r>
    </w:p>
  </w:footnote>
  <w:footnote w:id="1">
    <w:p w14:paraId="4D97D0A8" w14:textId="69B112DB" w:rsidR="00B73AD0" w:rsidRPr="00B73AD0" w:rsidRDefault="00B73AD0">
      <w:pPr>
        <w:pStyle w:val="FootnoteText"/>
        <w:rPr>
          <w:lang w:val="en-IE"/>
        </w:rPr>
      </w:pPr>
      <w:r>
        <w:t>(</w:t>
      </w:r>
      <w:r>
        <w:rPr>
          <w:rStyle w:val="FootnoteReference"/>
        </w:rPr>
        <w:footnoteRef/>
      </w:r>
      <w:r>
        <w:t>)</w:t>
      </w:r>
      <w:r>
        <w:tab/>
      </w:r>
      <w:r w:rsidRPr="00B73AD0">
        <w:rPr>
          <w:highlight w:val="lightGray"/>
        </w:rPr>
        <w:t xml:space="preserve">[The data protection policy of the contractor </w:t>
      </w:r>
      <w:r w:rsidRPr="00B73AD0">
        <w:rPr>
          <w:i/>
          <w:iCs/>
          <w:highlight w:val="lightGray"/>
        </w:rPr>
        <w:t>[add name]</w:t>
      </w:r>
      <w:r w:rsidRPr="00B73AD0">
        <w:rPr>
          <w:highlight w:val="lightGray"/>
        </w:rPr>
        <w:t xml:space="preserve"> is available here </w:t>
      </w:r>
      <w:r w:rsidRPr="00B73AD0">
        <w:rPr>
          <w:i/>
          <w:iCs/>
          <w:highlight w:val="lightGray"/>
        </w:rPr>
        <w:t>[insert link]</w:t>
      </w:r>
      <w:r w:rsidRPr="00B73AD0">
        <w:rPr>
          <w:highlight w:val="lightGray"/>
        </w:rPr>
        <w:t>]</w:t>
      </w:r>
    </w:p>
  </w:footnote>
  <w:footnote w:id="2">
    <w:p w14:paraId="7257EE3D" w14:textId="177AA4A9" w:rsidR="00853032" w:rsidRPr="008F5C9A" w:rsidRDefault="00853032" w:rsidP="00853032">
      <w:pPr>
        <w:pStyle w:val="FootnoteText"/>
        <w:rPr>
          <w:lang w:val="fr-BE"/>
        </w:rPr>
      </w:pPr>
      <w:r>
        <w:rPr>
          <w:rStyle w:val="FootnoteReference"/>
        </w:rPr>
        <w:footnoteRef/>
      </w:r>
      <w:r>
        <w:t xml:space="preserve"> </w:t>
      </w:r>
      <w:r w:rsidRPr="008F5C9A">
        <w:t>SEC (2022) 400 – A</w:t>
      </w:r>
      <w:r>
        <w:t>res</w:t>
      </w:r>
      <w:r w:rsidRPr="008F5C9A">
        <w:t>(2022)8801492 – 19/12/2022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9D39" w14:textId="77777777" w:rsidR="00D263B2" w:rsidRDefault="00D26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9732" w14:textId="77777777" w:rsidR="00D263B2" w:rsidRDefault="00D26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BB28" w14:textId="77777777" w:rsidR="00D263B2" w:rsidRDefault="00D26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FA3"/>
    <w:multiLevelType w:val="hybridMultilevel"/>
    <w:tmpl w:val="A0847C98"/>
    <w:lvl w:ilvl="0" w:tplc="71DEE700">
      <w:start w:val="1"/>
      <w:numFmt w:val="lowerLetter"/>
      <w:lvlText w:val="%1."/>
      <w:lvlJc w:val="left"/>
      <w:pPr>
        <w:ind w:left="1145" w:hanging="360"/>
      </w:pPr>
      <w:rPr>
        <w:i w:val="0"/>
        <w:iCs w:val="0"/>
        <w:color w:val="auto"/>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0A2900F7"/>
    <w:multiLevelType w:val="multilevel"/>
    <w:tmpl w:val="784EE1A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2E0CF67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1622934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E92AB28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BA059D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D9A311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09A675E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9F171CE"/>
    <w:multiLevelType w:val="hybridMultilevel"/>
    <w:tmpl w:val="6A0CDA8C"/>
    <w:lvl w:ilvl="0" w:tplc="B956A0CC">
      <w:start w:val="4"/>
      <w:numFmt w:val="bullet"/>
      <w:lvlText w:val="-"/>
      <w:lvlJc w:val="left"/>
      <w:pPr>
        <w:ind w:left="720" w:hanging="360"/>
      </w:pPr>
      <w:rPr>
        <w:rFonts w:ascii="Times New Roman" w:eastAsia="Times New Roman" w:hAnsi="Times New Roman" w:cs="Times New Roman" w:hint="default"/>
        <w:sz w:val="24"/>
      </w:rPr>
    </w:lvl>
    <w:lvl w:ilvl="1" w:tplc="ECE487C2">
      <w:start w:val="8"/>
      <w:numFmt w:val="bullet"/>
      <w:lvlText w:val=""/>
      <w:lvlJc w:val="left"/>
      <w:pPr>
        <w:ind w:left="1440" w:hanging="360"/>
      </w:pPr>
      <w:rPr>
        <w:rFonts w:ascii="Symbol" w:eastAsia="Times New Roman" w:hAnsi="Symbol"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E649D"/>
    <w:multiLevelType w:val="hybridMultilevel"/>
    <w:tmpl w:val="21BA4E44"/>
    <w:lvl w:ilvl="0" w:tplc="08090001">
      <w:start w:val="1"/>
      <w:numFmt w:val="bullet"/>
      <w:lvlText w:val=""/>
      <w:lvlJc w:val="left"/>
      <w:pPr>
        <w:ind w:left="1196" w:hanging="360"/>
      </w:pPr>
      <w:rPr>
        <w:rFonts w:ascii="Symbol" w:hAnsi="Symbol" w:hint="default"/>
      </w:rPr>
    </w:lvl>
    <w:lvl w:ilvl="1" w:tplc="0A9A0F5E">
      <w:start w:val="2"/>
      <w:numFmt w:val="bullet"/>
      <w:lvlText w:val="•"/>
      <w:lvlJc w:val="left"/>
      <w:pPr>
        <w:ind w:left="1916" w:hanging="360"/>
      </w:pPr>
      <w:rPr>
        <w:rFonts w:ascii="Calibri" w:eastAsia="Times New Roman" w:hAnsi="Calibri" w:cs="Times New Roman"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0" w15:restartNumberingAfterBreak="0">
    <w:nsid w:val="1C7B624F"/>
    <w:multiLevelType w:val="multilevel"/>
    <w:tmpl w:val="4E3A9D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89E5D21"/>
    <w:multiLevelType w:val="hybridMultilevel"/>
    <w:tmpl w:val="FA60C2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C8DFDF8"/>
    <w:multiLevelType w:val="multilevel"/>
    <w:tmpl w:val="D89C8AF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DC927E0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6A1EA0D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F4D5E80"/>
    <w:multiLevelType w:val="hybridMultilevel"/>
    <w:tmpl w:val="250C8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4F446E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066CC47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C3EE025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D74C386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72401A3"/>
    <w:multiLevelType w:val="hybridMultilevel"/>
    <w:tmpl w:val="8C4CA1BE"/>
    <w:lvl w:ilvl="0" w:tplc="611868C4">
      <w:start w:val="1"/>
      <w:numFmt w:val="decimal"/>
      <w:lvlText w:val="%1."/>
      <w:lvlJc w:val="left"/>
      <w:pPr>
        <w:ind w:left="360" w:hanging="360"/>
      </w:pPr>
      <w:rPr>
        <w:b/>
        <w:bCs/>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A63DF"/>
    <w:multiLevelType w:val="multilevel"/>
    <w:tmpl w:val="BD3C42FE"/>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4E1A982C"/>
    <w:multiLevelType w:val="multilevel"/>
    <w:tmpl w:val="FBB4C86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619B"/>
    <w:multiLevelType w:val="multilevel"/>
    <w:tmpl w:val="E34C71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50729B52"/>
    <w:multiLevelType w:val="multilevel"/>
    <w:tmpl w:val="9A5AD732"/>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596A700C"/>
    <w:multiLevelType w:val="hybridMultilevel"/>
    <w:tmpl w:val="B0342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77472E"/>
    <w:multiLevelType w:val="multilevel"/>
    <w:tmpl w:val="99F0095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79E64386"/>
    <w:multiLevelType w:val="hybridMultilevel"/>
    <w:tmpl w:val="CEF87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21789"/>
    <w:multiLevelType w:val="hybridMultilevel"/>
    <w:tmpl w:val="575A7F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C65145E"/>
    <w:multiLevelType w:val="multilevel"/>
    <w:tmpl w:val="F1B0A3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331304365">
    <w:abstractNumId w:val="1"/>
  </w:num>
  <w:num w:numId="2" w16cid:durableId="765728660">
    <w:abstractNumId w:val="16"/>
  </w:num>
  <w:num w:numId="3" w16cid:durableId="1844659656">
    <w:abstractNumId w:val="10"/>
  </w:num>
  <w:num w:numId="4" w16cid:durableId="1475760912">
    <w:abstractNumId w:val="17"/>
  </w:num>
  <w:num w:numId="5" w16cid:durableId="1767798837">
    <w:abstractNumId w:val="23"/>
  </w:num>
  <w:num w:numId="6" w16cid:durableId="1682780359">
    <w:abstractNumId w:val="26"/>
  </w:num>
  <w:num w:numId="7" w16cid:durableId="783812784">
    <w:abstractNumId w:val="2"/>
  </w:num>
  <w:num w:numId="8" w16cid:durableId="1769959134">
    <w:abstractNumId w:val="7"/>
  </w:num>
  <w:num w:numId="9" w16cid:durableId="1177189579">
    <w:abstractNumId w:val="19"/>
  </w:num>
  <w:num w:numId="10" w16cid:durableId="774516842">
    <w:abstractNumId w:val="3"/>
  </w:num>
  <w:num w:numId="11" w16cid:durableId="196236161">
    <w:abstractNumId w:val="5"/>
  </w:num>
  <w:num w:numId="12" w16cid:durableId="1141578577">
    <w:abstractNumId w:val="6"/>
  </w:num>
  <w:num w:numId="13" w16cid:durableId="1833447152">
    <w:abstractNumId w:val="12"/>
  </w:num>
  <w:num w:numId="14" w16cid:durableId="1712267336">
    <w:abstractNumId w:val="18"/>
  </w:num>
  <w:num w:numId="15" w16cid:durableId="482042787">
    <w:abstractNumId w:val="22"/>
  </w:num>
  <w:num w:numId="16" w16cid:durableId="1915044687">
    <w:abstractNumId w:val="29"/>
  </w:num>
  <w:num w:numId="17" w16cid:durableId="1142579387">
    <w:abstractNumId w:val="13"/>
  </w:num>
  <w:num w:numId="18" w16cid:durableId="308050235">
    <w:abstractNumId w:val="14"/>
  </w:num>
  <w:num w:numId="19" w16cid:durableId="1976061823">
    <w:abstractNumId w:val="30"/>
  </w:num>
  <w:num w:numId="20" w16cid:durableId="1939756379">
    <w:abstractNumId w:val="21"/>
  </w:num>
  <w:num w:numId="21" w16cid:durableId="1949460191">
    <w:abstractNumId w:val="24"/>
  </w:num>
  <w:num w:numId="22" w16cid:durableId="145320705">
    <w:abstractNumId w:val="4"/>
  </w:num>
  <w:num w:numId="23" w16cid:durableId="1012803293">
    <w:abstractNumId w:val="20"/>
  </w:num>
  <w:num w:numId="24" w16cid:durableId="958410770">
    <w:abstractNumId w:val="9"/>
  </w:num>
  <w:num w:numId="25" w16cid:durableId="1618215798">
    <w:abstractNumId w:val="11"/>
  </w:num>
  <w:num w:numId="26" w16cid:durableId="46687791">
    <w:abstractNumId w:val="25"/>
  </w:num>
  <w:num w:numId="27" w16cid:durableId="1587616422">
    <w:abstractNumId w:val="28"/>
  </w:num>
  <w:num w:numId="28" w16cid:durableId="59332869">
    <w:abstractNumId w:val="15"/>
  </w:num>
  <w:num w:numId="29" w16cid:durableId="1402749777">
    <w:abstractNumId w:val="27"/>
  </w:num>
  <w:num w:numId="30" w16cid:durableId="1237089322">
    <w:abstractNumId w:val="8"/>
  </w:num>
  <w:num w:numId="31" w16cid:durableId="206012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D0"/>
    <w:rsid w:val="0007268D"/>
    <w:rsid w:val="000B466B"/>
    <w:rsid w:val="001626B6"/>
    <w:rsid w:val="00463201"/>
    <w:rsid w:val="004F11A2"/>
    <w:rsid w:val="0057574F"/>
    <w:rsid w:val="00690327"/>
    <w:rsid w:val="00760A89"/>
    <w:rsid w:val="00853032"/>
    <w:rsid w:val="00897E27"/>
    <w:rsid w:val="00A163E2"/>
    <w:rsid w:val="00A30ABF"/>
    <w:rsid w:val="00B73AD0"/>
    <w:rsid w:val="00B918F3"/>
    <w:rsid w:val="00C664D8"/>
    <w:rsid w:val="00D263B2"/>
    <w:rsid w:val="00D331F5"/>
    <w:rsid w:val="00D914EE"/>
    <w:rsid w:val="00DE2BF4"/>
    <w:rsid w:val="00E8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E568"/>
  <w15:docId w15:val="{3C63C737-E0E1-4D2A-8945-BD08AA91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rsid w:val="00B73AD0"/>
    <w:pPr>
      <w:ind w:left="5102" w:right="-680"/>
      <w:contextualSpacing/>
      <w:jc w:val="left"/>
    </w:pPr>
    <w:rPr>
      <w:sz w:val="28"/>
      <w:lang w:val="en-IE"/>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CellMar>
        <w:top w:w="0" w:type="dxa"/>
        <w:bottom w:w="0" w:type="dxa"/>
      </w:tblCellMar>
    </w:tblPr>
    <w:tblStylePr w:type="firstRow">
      <w:rPr>
        <w:b/>
      </w:rPr>
      <w:tblPr/>
      <w:trPr>
        <w:cantSplit/>
        <w:tblHeader/>
      </w:trPr>
    </w:tblStylePr>
  </w:style>
  <w:style w:type="table" w:customStyle="1" w:styleId="EurolookTable2">
    <w:name w:val="Eurolook Table 2"/>
    <w:basedOn w:val="EurolookTable"/>
    <w:semiHidden/>
    <w:unhideWhenUsed/>
    <w:tblPr>
      <w:tblInd w:w="1077" w:type="dxa"/>
      <w:tblCellMar>
        <w:top w:w="0" w:type="dxa"/>
        <w:bottom w:w="0" w:type="dxa"/>
      </w:tblCellMar>
    </w:tblPr>
    <w:tblStylePr w:type="firstRow">
      <w:rPr>
        <w:b/>
      </w:rPr>
      <w:tblPr/>
      <w:trPr>
        <w:cantSplit/>
        <w:tblHeader/>
      </w:trPr>
    </w:tblStylePr>
  </w:style>
  <w:style w:type="table" w:customStyle="1" w:styleId="EurolookTable3">
    <w:name w:val="Eurolook Table 3"/>
    <w:basedOn w:val="EurolookTable"/>
    <w:semiHidden/>
    <w:unhideWhenUsed/>
    <w:tblPr>
      <w:tblInd w:w="1916" w:type="dxa"/>
      <w:tblCellMar>
        <w:top w:w="0" w:type="dxa"/>
        <w:bottom w:w="0" w:type="dxa"/>
      </w:tblCellMar>
    </w:tblPr>
    <w:tblStylePr w:type="firstRow">
      <w:rPr>
        <w:b/>
      </w:rPr>
      <w:tblPr/>
      <w:trPr>
        <w:cantSplit/>
        <w:tblHeader/>
      </w:trPr>
    </w:tblStylePr>
  </w:style>
  <w:style w:type="table" w:customStyle="1" w:styleId="EurolookTable4">
    <w:name w:val="Eurolook Table 4"/>
    <w:basedOn w:val="EurolookTable"/>
    <w:semiHidden/>
    <w:unhideWhenUsed/>
    <w:tblPr>
      <w:tblInd w:w="2880" w:type="dxa"/>
      <w:tblCellMar>
        <w:top w:w="0" w:type="dxa"/>
        <w:bottom w:w="0" w:type="dxa"/>
      </w:tblCellMar>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locked/>
    <w:rsid w:val="00B73AD0"/>
    <w:rPr>
      <w:vertAlign w:val="superscript"/>
    </w:rPr>
  </w:style>
  <w:style w:type="paragraph" w:styleId="ListParagraph">
    <w:name w:val="List Paragraph"/>
    <w:basedOn w:val="Normal"/>
    <w:uiPriority w:val="34"/>
    <w:qFormat/>
    <w:locked/>
    <w:rsid w:val="00897E27"/>
    <w:pPr>
      <w:ind w:left="720"/>
      <w:contextualSpacing/>
    </w:pPr>
    <w:rPr>
      <w:lang w:eastAsia="en-US"/>
    </w:rPr>
  </w:style>
  <w:style w:type="character" w:customStyle="1" w:styleId="FootnoteTextChar">
    <w:name w:val="Footnote Text Char"/>
    <w:basedOn w:val="DefaultParagraphFont"/>
    <w:link w:val="FootnoteText"/>
    <w:rsid w:val="00853032"/>
    <w:rPr>
      <w:sz w:val="20"/>
    </w:rPr>
  </w:style>
  <w:style w:type="paragraph" w:customStyle="1" w:styleId="1">
    <w:name w:val="1"/>
    <w:basedOn w:val="Normal"/>
    <w:link w:val="FootnoteReference"/>
    <w:qFormat/>
    <w:rsid w:val="00853032"/>
    <w:pPr>
      <w:spacing w:after="160" w:line="240" w:lineRule="exact"/>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A-DPO@ec.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INEA-EMFAF-CONTRACTS@ec.europa.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s@edps.europa.e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fefd7f26-cd84-4e65-b00c-99f3291897e6</Id>
  <Names>
    <Latin>
      <FirstName>Vincent</FirstName>
      <LastName>FAVREL</LastName>
    </Latin>
    <Greek>
      <FirstName/>
      <LastName/>
    </Greek>
    <Cyrillic>
      <FirstName/>
      <LastName/>
    </Cyrillic>
    <DocumentScript>
      <FirstName>Vincent</FirstName>
      <LastName>FAVREL</LastName>
      <FullName>Vincent FAVREL</FullName>
    </DocumentScript>
  </Names>
  <Initials>VF</Initials>
  <Gender>m</Gender>
  <Email>CINEA-EMFAF-CONTRACTS@ec.europa.eu</Email>
  <Service>CINEA.D.D3</Service>
  <Function ADCode="4" ShowInSignature="true" ShowInHeader="false" HeaderText="">Head of Unit</Function>
  <WebAddress/>
  <FunctionalMailbox/>
  <InheritedWebAddress>WebAddress</InheritedWebAddress>
  <OrgaEntity1>
    <Id>0d72b69a-ca92-4553-a7c4-3bc61c43446c</Id>
    <LogicalLevel>1</LogicalLevel>
    <Name>CINEA</Name>
    <HeadLine1>EUROPEAN CLIMATE, INFRASTRUCTURE AND</HeadLine1>
    <HeadLine2>ENVIRONMENT EXECUTIVE AGENCY (CINEA)</HeadLine2>
    <PrimaryAddressId>efcd4ed3-2bc1-45b5-8bc8-5f5a834a7f49</PrimaryAddressId>
    <SecondaryAddressId/>
    <WebAddress>WebAddress</WebAddress>
    <InheritedWebAddress>WebAddress</InheritedWebAddress>
    <ShowInHeader>true</ShowInHeader>
  </OrgaEntity1>
  <OrgaEntity2>
    <Id>c9ab9db4-96ca-4cf4-8e91-bd7357b0e782</Id>
    <LogicalLevel>2</LogicalLevel>
    <Name>CINEA.D</Name>
    <HeadLine1>CINEA.D - Natural resources, climate, sustainable blue economy and clean energy</HeadLine1>
    <HeadLine2/>
    <PrimaryAddressId>efcd4ed3-2bc1-45b5-8bc8-5f5a834a7f49</PrimaryAddressId>
    <SecondaryAddressId/>
    <WebAddress/>
    <InheritedWebAddress>WebAddress</InheritedWebAddress>
    <ShowInHeader>true</ShowInHeader>
  </OrgaEntity2>
  <OrgaEntity3>
    <Id>14717458-287a-4bbe-b10a-693102b46fb1</Id>
    <LogicalLevel>3</LogicalLevel>
    <Name>CINEA.D.D3</Name>
    <HeadLine1>D.3 - Sustainable Blue Economy</HeadLine1>
    <HeadLine2/>
    <PrimaryAddressId>efcd4ed3-2bc1-45b5-8bc8-5f5a834a7f49</PrimaryAddressId>
    <SecondaryAddressId/>
    <WebAddress/>
    <InheritedWebAddress>WebAddress</InheritedWebAddress>
    <ShowInHeader>true</ShowInHeader>
  </OrgaEntity3>
  <Hierarchy>
    <OrgaEntity>
      <Id>0d72b69a-ca92-4553-a7c4-3bc61c43446c</Id>
      <LogicalLevel>1</LogicalLevel>
      <Name>CINEA</Name>
      <HeadLine1>EUROPEAN CLIMATE, INFRASTRUCTURE AND</HeadLine1>
      <HeadLine2>ENVIRONMENT EXECUTIVE AGENCY (CINEA)</HeadLine2>
      <PrimaryAddressId>efcd4ed3-2bc1-45b5-8bc8-5f5a834a7f49</PrimaryAddressId>
      <SecondaryAddressId/>
      <WebAddress>WebAddress</WebAddress>
      <InheritedWebAddress>WebAddress</InheritedWebAddress>
      <ShowInHeader>true</ShowInHeader>
    </OrgaEntity>
    <OrgaEntity>
      <Id>c9ab9db4-96ca-4cf4-8e91-bd7357b0e782</Id>
      <LogicalLevel>2</LogicalLevel>
      <Name>CINEA.D</Name>
      <HeadLine1>CINEA.D - Natural resources, climate, sustainable blue economy and clean energy</HeadLine1>
      <HeadLine2/>
      <PrimaryAddressId>efcd4ed3-2bc1-45b5-8bc8-5f5a834a7f49</PrimaryAddressId>
      <SecondaryAddressId/>
      <WebAddress/>
      <InheritedWebAddress>WebAddress</InheritedWebAddress>
      <ShowInHeader>true</ShowInHeader>
    </OrgaEntity>
    <OrgaEntity>
      <Id>14717458-287a-4bbe-b10a-693102b46fb1</Id>
      <LogicalLevel>3</LogicalLevel>
      <Name>CINEA.D.D3</Name>
      <HeadLine1>D.3 - Sustainable Blue Economy</HeadLine1>
      <HeadLine2/>
      <PrimaryAddressId>efcd4ed3-2bc1-45b5-8bc8-5f5a834a7f49</PrimaryAddressId>
      <SecondaryAddressId/>
      <WebAddress/>
      <InheritedWebAddress>WebAddress</InheritedWebAddress>
      <ShowInHeader>true</ShowInHeader>
    </OrgaEntity>
  </Hierarchy>
  <Addresses>
    <Address>
      <Id>efcd4ed3-2bc1-45b5-8bc8-5f5a834a7f49</Id>
      <Name>CINEA (Brussels)</Name>
      <PhoneNumberPrefix>+32 229-</PhoneNumberPrefix>
      <TranslatedName>Brussels</TranslatedName>
      <Location>Brussels,</Location>
      <Footer>European Climate, Infrastructure and Environment Executive Agency (CINEA), B-1049 Brussels, BELGIUM</Footer>
    </Address>
  </Addresses>
  <JobAssignmentId/>
  <MainWorkplace IsMain="true">
    <AddressId>efcd4ed3-2bc1-45b5-8bc8-5f5a834a7f49</AddressId>
    <Fax/>
    <Phone>+32 229-93710</Phone>
    <Office>BLS2 05/259</Office>
  </MainWorkplace>
  <Workplaces>
    <Workplace IsMain="true">
      <AddressId>efcd4ed3-2bc1-45b5-8bc8-5f5a834a7f49</AddressId>
      <Fax/>
      <Phone>+32 229-93710</Phone>
      <Office>BLS2 05/259</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Data Protection Notice
</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10.0.45336.0</Version>
    <Date>2023-10-26T09:39:59</Date>
    <Language>EN</Language>
    <Note/>
  </Created>
  <Edited>
    <Version/>
    <Date/>
  </Edited>
  <DocumentModel>
    <Id>f8c36bec-0f9f-4d0e-ab25-ee5c0421ad8b</Id>
    <Name>Note for the file</Name>
  </DocumentModel>
  <CustomTemplate>
    <Id/>
    <Name/>
  </CustomTemplate>
  <DocumentDate>2023-10-26T09:39:59</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9316-02CD-4BC8-AAB6-9C5851D02110}">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1CC4A499-DFEB-4CFD-8087-CAE06E83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140</TotalTime>
  <Pages>5</Pages>
  <Words>1653</Words>
  <Characters>9509</Characters>
  <Application>Microsoft Office Word</Application>
  <DocSecurity>0</DocSecurity>
  <PresentationFormat>Microsoft Word 14.0</PresentationFormat>
  <Lines>452</Lines>
  <Paragraphs>372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PIERDOMINICI Claudia (CINEA)</dc:creator>
  <cp:keywords/>
  <dc:description/>
  <cp:lastModifiedBy>PIERDOMINICI Claudia (CINEA)</cp:lastModifiedBy>
  <cp:revision>9</cp:revision>
  <dcterms:created xsi:type="dcterms:W3CDTF">2023-10-26T07:40:00Z</dcterms:created>
  <dcterms:modified xsi:type="dcterms:W3CDTF">2023-10-26T12:03:00Z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2023-10-26T07:40:00Z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cfa24535-3869-482f-b43e-b7cbd15da282</vt:lpwstr>
  </property>
  <property fmtid="{D5CDD505-2E9C-101B-9397-08002B2CF9AE}" pid="8" name="MSIP_Label_6bd9ddd1-4d20-43f6-abfa-fc3c07406f94_ContentBits">
    <vt:lpwstr>0</vt:lpwstr>
  </property>
</Properties>
</file>